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C0E24" w:rsidR="00B73C3D" w:rsidP="00B73C3D" w:rsidRDefault="0000788A">
      <w:pPr>
        <w:ind w:left="709"/>
        <w:rPr>
          <w:rFonts w:ascii="Arial" w:hAnsi="Arial" w:cs="Arial"/>
          <w:szCs w:val="24"/>
        </w:rPr>
      </w:pPr>
      <w:r w:rsidRPr="001C0E24"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AC343BA" wp14:anchorId="5F1EC6F3">
                <wp:simplePos x="0" y="0"/>
                <wp:positionH relativeFrom="column">
                  <wp:posOffset>378460</wp:posOffset>
                </wp:positionH>
                <wp:positionV relativeFrom="paragraph">
                  <wp:posOffset>-55245</wp:posOffset>
                </wp:positionV>
                <wp:extent cx="1191259" cy="63055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59" cy="630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788A" w:rsidR="00980038" w:rsidP="0000788A" w:rsidRDefault="00980038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Rep 7</w:t>
                            </w:r>
                            <w:r w:rsidR="0059427F">
                              <w:rPr>
                                <w:rFonts w:ascii="Arial" w:hAnsi="Arial" w:cs="Arial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1EC6F3">
                <v:stroke joinstyle="miter"/>
                <v:path gradientshapeok="t" o:connecttype="rect"/>
              </v:shapetype>
              <v:shape id="Text Box 2" style="position:absolute;left:0;text-align:left;margin-left:29.8pt;margin-top:-4.35pt;width:93.8pt;height:4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">
                <v:textbox style="mso-fit-shape-to-text:t">
                  <w:txbxContent>
                    <w:p w:rsidRPr="0000788A" w:rsidR="00980038" w:rsidP="0000788A" w:rsidRDefault="00980038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Rep 7</w:t>
                      </w:r>
                      <w:r w:rsidR="0059427F">
                        <w:rPr>
                          <w:rFonts w:ascii="Arial" w:hAnsi="Arial" w:cs="Arial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1C0E24" w:rsidR="00B73C3D"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D0D8EC" wp14:anchorId="2436791B">
                <wp:simplePos x="0" y="0"/>
                <wp:positionH relativeFrom="column">
                  <wp:posOffset>5383392</wp:posOffset>
                </wp:positionH>
                <wp:positionV relativeFrom="paragraph">
                  <wp:posOffset>-58420</wp:posOffset>
                </wp:positionV>
                <wp:extent cx="1190625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788A" w:rsidR="00980038" w:rsidP="00B73C3D" w:rsidRDefault="00980038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0078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Agenda item </w:t>
                            </w:r>
                            <w:r w:rsidR="00535D5C">
                              <w:rPr>
                                <w:rFonts w:ascii="Arial" w:hAnsi="Arial" w:cs="Arial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36791B">
                <v:stroke joinstyle="miter"/>
                <v:path gradientshapeok="t" o:connecttype="rect"/>
              </v:shapetype>
              <v:shape id="_x0000_s1027" style="position:absolute;left:0;text-align:left;margin-left:423.9pt;margin-top:-4.6pt;width:9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">
                <v:textbox style="mso-fit-shape-to-text:t">
                  <w:txbxContent>
                    <w:p w:rsidRPr="0000788A" w:rsidR="00980038" w:rsidP="00B73C3D" w:rsidRDefault="00980038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00788A">
                        <w:rPr>
                          <w:rFonts w:ascii="Arial" w:hAnsi="Arial" w:cs="Arial"/>
                          <w:szCs w:val="24"/>
                        </w:rPr>
                        <w:t xml:space="preserve">Agenda item </w:t>
                      </w:r>
                      <w:r w:rsidR="00535D5C">
                        <w:rPr>
                          <w:rFonts w:ascii="Arial" w:hAnsi="Arial" w:cs="Arial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Pr="001C0E24" w:rsidR="00B73C3D" w:rsidP="00B73C3D" w:rsidRDefault="00B73C3D">
      <w:pPr>
        <w:ind w:left="709"/>
        <w:jc w:val="center"/>
        <w:rPr>
          <w:rFonts w:ascii="Arial" w:hAnsi="Arial" w:cs="Arial"/>
          <w:sz w:val="26"/>
          <w:szCs w:val="26"/>
          <w:u w:val="single"/>
        </w:rPr>
      </w:pPr>
      <w:r w:rsidRPr="001C0E24">
        <w:rPr>
          <w:rFonts w:ascii="Arial" w:hAnsi="Arial" w:cs="Arial"/>
          <w:sz w:val="26"/>
          <w:szCs w:val="26"/>
          <w:u w:val="single"/>
        </w:rPr>
        <w:t>DERBYSHIRE COUNTY COUNCIL</w:t>
      </w:r>
    </w:p>
    <w:p w:rsidRPr="001C0E24" w:rsidR="00B73C3D" w:rsidP="00980038" w:rsidRDefault="00B73C3D">
      <w:pPr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 w:rsidRPr="001C0E24">
        <w:rPr>
          <w:rFonts w:ascii="Arial" w:hAnsi="Arial" w:cs="Arial"/>
          <w:sz w:val="26"/>
          <w:szCs w:val="26"/>
          <w:u w:val="single"/>
        </w:rPr>
        <w:t xml:space="preserve">SCHOOLS FORUM </w:t>
      </w:r>
    </w:p>
    <w:p w:rsidRPr="001C0E24" w:rsidR="00B73C3D" w:rsidP="00980038" w:rsidRDefault="0059427F">
      <w:pPr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22</w:t>
      </w:r>
      <w:r w:rsidRPr="0059427F">
        <w:rPr>
          <w:rFonts w:ascii="Arial" w:hAnsi="Arial" w:cs="Arial"/>
          <w:sz w:val="26"/>
          <w:szCs w:val="26"/>
          <w:u w:val="single"/>
          <w:vertAlign w:val="superscript"/>
        </w:rPr>
        <w:t>nd</w:t>
      </w:r>
      <w:r>
        <w:rPr>
          <w:rFonts w:ascii="Arial" w:hAnsi="Arial" w:cs="Arial"/>
          <w:sz w:val="26"/>
          <w:szCs w:val="26"/>
          <w:u w:val="single"/>
        </w:rPr>
        <w:t xml:space="preserve"> November </w:t>
      </w:r>
      <w:r w:rsidRPr="001C0E24" w:rsidR="00980038">
        <w:rPr>
          <w:rFonts w:ascii="Arial" w:hAnsi="Arial" w:cs="Arial"/>
          <w:sz w:val="26"/>
          <w:szCs w:val="26"/>
          <w:u w:val="single"/>
        </w:rPr>
        <w:t>201</w:t>
      </w:r>
      <w:r>
        <w:rPr>
          <w:rFonts w:ascii="Arial" w:hAnsi="Arial" w:cs="Arial"/>
          <w:sz w:val="26"/>
          <w:szCs w:val="26"/>
          <w:u w:val="single"/>
        </w:rPr>
        <w:t>8</w:t>
      </w:r>
    </w:p>
    <w:p w:rsidRPr="001C0E24" w:rsidR="00B73C3D" w:rsidP="00980038" w:rsidRDefault="00B73C3D">
      <w:pPr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 w:rsidRPr="001C0E24">
        <w:rPr>
          <w:rFonts w:ascii="Arial" w:hAnsi="Arial" w:cs="Arial"/>
          <w:sz w:val="26"/>
          <w:szCs w:val="26"/>
          <w:u w:val="single"/>
        </w:rPr>
        <w:t>Report of the Strategic Director for Children</w:t>
      </w:r>
      <w:r w:rsidRPr="001C0E24" w:rsidR="00E352A1">
        <w:rPr>
          <w:rFonts w:ascii="Arial" w:hAnsi="Arial" w:cs="Arial"/>
          <w:sz w:val="26"/>
          <w:szCs w:val="26"/>
          <w:u w:val="single"/>
        </w:rPr>
        <w:t>’s Services</w:t>
      </w:r>
    </w:p>
    <w:p w:rsidRPr="001C0E24" w:rsidR="00B73C3D" w:rsidP="00980038" w:rsidRDefault="0059427F">
      <w:pPr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School Funding - r</w:t>
      </w:r>
      <w:r w:rsidRPr="001C0E24" w:rsidR="00980038">
        <w:rPr>
          <w:rFonts w:ascii="Arial" w:hAnsi="Arial" w:cs="Arial"/>
          <w:sz w:val="26"/>
          <w:szCs w:val="26"/>
          <w:u w:val="single"/>
        </w:rPr>
        <w:t xml:space="preserve">esponses to </w:t>
      </w:r>
      <w:r w:rsidR="00632508">
        <w:rPr>
          <w:rFonts w:ascii="Arial" w:hAnsi="Arial" w:cs="Arial"/>
          <w:sz w:val="26"/>
          <w:szCs w:val="26"/>
          <w:u w:val="single"/>
        </w:rPr>
        <w:t xml:space="preserve">the </w:t>
      </w:r>
      <w:r w:rsidRPr="001C0E24" w:rsidR="00A26081">
        <w:rPr>
          <w:rFonts w:ascii="Arial" w:hAnsi="Arial" w:cs="Arial"/>
          <w:sz w:val="26"/>
          <w:szCs w:val="26"/>
          <w:u w:val="single"/>
        </w:rPr>
        <w:t xml:space="preserve">LA’s </w:t>
      </w:r>
      <w:r w:rsidRPr="001C0E24" w:rsidR="006A7B39">
        <w:rPr>
          <w:rFonts w:ascii="Arial" w:hAnsi="Arial" w:cs="Arial"/>
          <w:sz w:val="26"/>
          <w:szCs w:val="26"/>
          <w:u w:val="single"/>
        </w:rPr>
        <w:t xml:space="preserve">Mainstream </w:t>
      </w:r>
      <w:r w:rsidRPr="001C0E24" w:rsidR="00B73C3D">
        <w:rPr>
          <w:rFonts w:ascii="Arial" w:hAnsi="Arial" w:cs="Arial"/>
          <w:sz w:val="26"/>
          <w:szCs w:val="26"/>
          <w:u w:val="single"/>
        </w:rPr>
        <w:t>Consultation</w:t>
      </w:r>
    </w:p>
    <w:p w:rsidRPr="001C0E24" w:rsidR="00B73C3D" w:rsidP="00B73C3D" w:rsidRDefault="00B73C3D">
      <w:pPr>
        <w:ind w:left="709"/>
        <w:rPr>
          <w:rFonts w:ascii="Arial" w:hAnsi="Arial" w:cs="Arial"/>
          <w:sz w:val="8"/>
          <w:szCs w:val="26"/>
        </w:rPr>
      </w:pPr>
    </w:p>
    <w:p w:rsidRPr="001C0E24" w:rsidR="00B73C3D" w:rsidP="00F101F1" w:rsidRDefault="00B73C3D">
      <w:pPr>
        <w:numPr>
          <w:ilvl w:val="0"/>
          <w:numId w:val="8"/>
        </w:numPr>
        <w:ind w:left="284" w:firstLine="0"/>
        <w:rPr>
          <w:rFonts w:ascii="Arial" w:hAnsi="Arial" w:cs="Arial"/>
          <w:b/>
          <w:sz w:val="26"/>
          <w:szCs w:val="26"/>
        </w:rPr>
      </w:pPr>
      <w:r w:rsidRPr="001C0E24">
        <w:rPr>
          <w:rFonts w:ascii="Arial" w:hAnsi="Arial" w:cs="Arial"/>
          <w:b/>
          <w:sz w:val="26"/>
          <w:szCs w:val="26"/>
          <w:u w:val="single"/>
        </w:rPr>
        <w:t>Purpose of the Report</w:t>
      </w:r>
    </w:p>
    <w:p w:rsidRPr="001C0E24" w:rsidR="00B73C3D" w:rsidP="00F101F1" w:rsidRDefault="00B73C3D">
      <w:pPr>
        <w:ind w:left="284"/>
        <w:rPr>
          <w:rFonts w:ascii="Arial" w:hAnsi="Arial" w:cs="Arial"/>
          <w:sz w:val="26"/>
          <w:szCs w:val="26"/>
        </w:rPr>
      </w:pPr>
    </w:p>
    <w:p w:rsidRPr="001C0E24" w:rsidR="00B73C3D" w:rsidP="00F101F1" w:rsidRDefault="00B73C3D">
      <w:pPr>
        <w:tabs>
          <w:tab w:val="left" w:pos="1418"/>
        </w:tabs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To </w:t>
      </w:r>
      <w:r w:rsidRPr="001C0E24" w:rsidR="00E352A1">
        <w:rPr>
          <w:rFonts w:ascii="Arial" w:hAnsi="Arial" w:cs="Arial"/>
          <w:sz w:val="26"/>
          <w:szCs w:val="26"/>
        </w:rPr>
        <w:t xml:space="preserve">inform </w:t>
      </w:r>
      <w:r w:rsidRPr="001C0E24">
        <w:rPr>
          <w:rFonts w:ascii="Arial" w:hAnsi="Arial" w:cs="Arial"/>
          <w:sz w:val="26"/>
          <w:szCs w:val="26"/>
        </w:rPr>
        <w:t xml:space="preserve">the </w:t>
      </w:r>
      <w:r w:rsidRPr="001C0E24" w:rsidR="00E352A1">
        <w:rPr>
          <w:rFonts w:ascii="Arial" w:hAnsi="Arial" w:cs="Arial"/>
          <w:sz w:val="26"/>
          <w:szCs w:val="26"/>
        </w:rPr>
        <w:t xml:space="preserve">Schools </w:t>
      </w:r>
      <w:r w:rsidRPr="001C0E24">
        <w:rPr>
          <w:rFonts w:ascii="Arial" w:hAnsi="Arial" w:cs="Arial"/>
          <w:sz w:val="26"/>
          <w:szCs w:val="26"/>
        </w:rPr>
        <w:t>Forum</w:t>
      </w:r>
      <w:r w:rsidRPr="001C0E24" w:rsidR="00E352A1">
        <w:rPr>
          <w:rFonts w:ascii="Arial" w:hAnsi="Arial" w:cs="Arial"/>
          <w:sz w:val="26"/>
          <w:szCs w:val="26"/>
        </w:rPr>
        <w:t xml:space="preserve"> of the responses from schools </w:t>
      </w:r>
      <w:r w:rsidR="00535D5C">
        <w:rPr>
          <w:rFonts w:ascii="Arial" w:hAnsi="Arial" w:cs="Arial"/>
          <w:sz w:val="26"/>
          <w:szCs w:val="26"/>
        </w:rPr>
        <w:t xml:space="preserve">and academies </w:t>
      </w:r>
      <w:r w:rsidRPr="001C0E24" w:rsidR="00E352A1">
        <w:rPr>
          <w:rFonts w:ascii="Arial" w:hAnsi="Arial" w:cs="Arial"/>
          <w:sz w:val="26"/>
          <w:szCs w:val="26"/>
        </w:rPr>
        <w:t xml:space="preserve">to the </w:t>
      </w:r>
      <w:r w:rsidRPr="001C0E24" w:rsidR="0074017A">
        <w:rPr>
          <w:rFonts w:ascii="Arial" w:hAnsi="Arial" w:cs="Arial"/>
          <w:sz w:val="26"/>
          <w:szCs w:val="26"/>
        </w:rPr>
        <w:t xml:space="preserve">Authority’s </w:t>
      </w:r>
      <w:r w:rsidRPr="001C0E24" w:rsidR="00E352A1">
        <w:rPr>
          <w:rFonts w:ascii="Arial" w:hAnsi="Arial" w:cs="Arial"/>
          <w:sz w:val="26"/>
          <w:szCs w:val="26"/>
        </w:rPr>
        <w:t>mainstream formula consultation</w:t>
      </w:r>
      <w:r w:rsidRPr="001C0E24">
        <w:rPr>
          <w:rFonts w:ascii="Arial" w:hAnsi="Arial" w:cs="Arial"/>
          <w:sz w:val="26"/>
          <w:szCs w:val="26"/>
        </w:rPr>
        <w:t xml:space="preserve">. </w:t>
      </w:r>
    </w:p>
    <w:p w:rsidRPr="001C0E24" w:rsidR="00B73C3D" w:rsidP="00F101F1" w:rsidRDefault="00B73C3D">
      <w:pPr>
        <w:tabs>
          <w:tab w:val="left" w:pos="1418"/>
        </w:tabs>
        <w:ind w:left="284"/>
        <w:rPr>
          <w:rFonts w:ascii="Arial" w:hAnsi="Arial" w:cs="Arial"/>
          <w:sz w:val="18"/>
          <w:szCs w:val="26"/>
        </w:rPr>
      </w:pPr>
    </w:p>
    <w:p w:rsidRPr="001C0E24" w:rsidR="00B73C3D" w:rsidP="00F101F1" w:rsidRDefault="00B73C3D">
      <w:pPr>
        <w:ind w:left="284"/>
        <w:rPr>
          <w:rFonts w:ascii="Arial" w:hAnsi="Arial" w:cs="Arial"/>
          <w:b/>
          <w:sz w:val="26"/>
          <w:szCs w:val="26"/>
        </w:rPr>
      </w:pPr>
      <w:r w:rsidRPr="001C0E24">
        <w:rPr>
          <w:rFonts w:ascii="Arial" w:hAnsi="Arial" w:cs="Arial"/>
          <w:b/>
          <w:sz w:val="26"/>
          <w:szCs w:val="26"/>
        </w:rPr>
        <w:t>2.</w:t>
      </w:r>
      <w:r w:rsidRPr="001C0E24">
        <w:rPr>
          <w:rFonts w:ascii="Arial" w:hAnsi="Arial" w:cs="Arial"/>
          <w:b/>
          <w:sz w:val="26"/>
          <w:szCs w:val="26"/>
        </w:rPr>
        <w:tab/>
      </w:r>
      <w:r w:rsidRPr="001C0E24">
        <w:rPr>
          <w:rFonts w:ascii="Arial" w:hAnsi="Arial" w:cs="Arial"/>
          <w:b/>
          <w:sz w:val="26"/>
          <w:szCs w:val="26"/>
          <w:u w:val="single"/>
        </w:rPr>
        <w:t>Information and Analysis</w:t>
      </w:r>
      <w:r w:rsidRPr="001C0E24">
        <w:rPr>
          <w:rFonts w:ascii="Arial" w:hAnsi="Arial" w:cs="Arial"/>
          <w:b/>
          <w:sz w:val="26"/>
          <w:szCs w:val="26"/>
        </w:rPr>
        <w:t xml:space="preserve"> </w:t>
      </w:r>
    </w:p>
    <w:p w:rsidRPr="001C0E24" w:rsidR="00B73C3D" w:rsidP="00F101F1" w:rsidRDefault="00B73C3D">
      <w:pPr>
        <w:tabs>
          <w:tab w:val="left" w:pos="1418"/>
        </w:tabs>
        <w:ind w:left="284"/>
        <w:rPr>
          <w:rFonts w:ascii="Arial" w:hAnsi="Arial" w:cs="Arial"/>
          <w:b/>
          <w:sz w:val="26"/>
          <w:szCs w:val="26"/>
        </w:rPr>
      </w:pPr>
    </w:p>
    <w:p w:rsidRPr="001C0E24" w:rsidR="00E352A1" w:rsidP="0074017A" w:rsidRDefault="00B73C3D">
      <w:pPr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>The Authority published its mainstream formu</w:t>
      </w:r>
      <w:r w:rsidRPr="001C0E24" w:rsidR="00801195">
        <w:rPr>
          <w:rFonts w:ascii="Arial" w:hAnsi="Arial" w:cs="Arial"/>
          <w:sz w:val="26"/>
          <w:szCs w:val="26"/>
        </w:rPr>
        <w:t>la proposals for April 201</w:t>
      </w:r>
      <w:r w:rsidR="0059427F">
        <w:rPr>
          <w:rFonts w:ascii="Arial" w:hAnsi="Arial" w:cs="Arial"/>
          <w:sz w:val="26"/>
          <w:szCs w:val="26"/>
        </w:rPr>
        <w:t>9</w:t>
      </w:r>
      <w:r w:rsidRPr="001C0E24" w:rsidR="00801195">
        <w:rPr>
          <w:rFonts w:ascii="Arial" w:hAnsi="Arial" w:cs="Arial"/>
          <w:sz w:val="26"/>
          <w:szCs w:val="26"/>
        </w:rPr>
        <w:t xml:space="preserve"> on </w:t>
      </w:r>
      <w:r w:rsidR="0059427F">
        <w:rPr>
          <w:rFonts w:ascii="Arial" w:hAnsi="Arial" w:cs="Arial"/>
          <w:sz w:val="26"/>
          <w:szCs w:val="26"/>
        </w:rPr>
        <w:t>18</w:t>
      </w:r>
      <w:r w:rsidRPr="0059427F" w:rsidR="0059427F">
        <w:rPr>
          <w:rFonts w:ascii="Arial" w:hAnsi="Arial" w:cs="Arial"/>
          <w:sz w:val="26"/>
          <w:szCs w:val="26"/>
          <w:vertAlign w:val="superscript"/>
        </w:rPr>
        <w:t>th</w:t>
      </w:r>
      <w:r w:rsidR="0059427F">
        <w:rPr>
          <w:rFonts w:ascii="Arial" w:hAnsi="Arial" w:cs="Arial"/>
          <w:sz w:val="26"/>
          <w:szCs w:val="26"/>
        </w:rPr>
        <w:t xml:space="preserve"> September 2018</w:t>
      </w:r>
      <w:r w:rsidRPr="001C0E24">
        <w:rPr>
          <w:rFonts w:ascii="Arial" w:hAnsi="Arial" w:cs="Arial"/>
          <w:sz w:val="26"/>
          <w:szCs w:val="26"/>
        </w:rPr>
        <w:t>.</w:t>
      </w:r>
      <w:r w:rsidRPr="001C0E24" w:rsidR="00980038">
        <w:rPr>
          <w:rFonts w:ascii="Arial" w:hAnsi="Arial" w:cs="Arial"/>
          <w:sz w:val="26"/>
          <w:szCs w:val="26"/>
        </w:rPr>
        <w:t xml:space="preserve"> In summary the consultation proposed the following</w:t>
      </w:r>
      <w:r w:rsidR="0059427F">
        <w:rPr>
          <w:rFonts w:ascii="Arial" w:hAnsi="Arial" w:cs="Arial"/>
          <w:sz w:val="26"/>
          <w:szCs w:val="26"/>
        </w:rPr>
        <w:t xml:space="preserve"> for 2019-20</w:t>
      </w:r>
      <w:r w:rsidRPr="001C0E24" w:rsidR="00E352A1">
        <w:rPr>
          <w:rFonts w:ascii="Arial" w:hAnsi="Arial" w:cs="Arial"/>
          <w:sz w:val="26"/>
          <w:szCs w:val="26"/>
        </w:rPr>
        <w:t>:</w:t>
      </w:r>
    </w:p>
    <w:p w:rsidRPr="001C0E24" w:rsidR="00980038" w:rsidP="0074017A" w:rsidRDefault="00980038">
      <w:pPr>
        <w:ind w:left="284"/>
        <w:rPr>
          <w:rFonts w:ascii="Arial" w:hAnsi="Arial" w:cs="Arial"/>
          <w:sz w:val="26"/>
          <w:szCs w:val="26"/>
        </w:rPr>
      </w:pPr>
    </w:p>
    <w:p w:rsidR="0059427F" w:rsidP="0046333B" w:rsidRDefault="0059427F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set a Minimum Funding Guarantee of 0% per pupil;</w:t>
      </w:r>
    </w:p>
    <w:p w:rsidRPr="001C0E24" w:rsidR="0059427F" w:rsidP="0046333B" w:rsidRDefault="0059427F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>To allow schools to gain up to 3% per pupil</w:t>
      </w:r>
      <w:r>
        <w:rPr>
          <w:rFonts w:ascii="Arial" w:hAnsi="Arial" w:cs="Arial"/>
          <w:sz w:val="26"/>
          <w:szCs w:val="26"/>
        </w:rPr>
        <w:t>;</w:t>
      </w:r>
    </w:p>
    <w:p w:rsidRPr="001C0E24" w:rsidR="00980038" w:rsidP="0046333B" w:rsidRDefault="00980038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To </w:t>
      </w:r>
      <w:r w:rsidR="0059427F">
        <w:rPr>
          <w:rFonts w:ascii="Arial" w:hAnsi="Arial" w:cs="Arial"/>
          <w:sz w:val="26"/>
          <w:szCs w:val="26"/>
        </w:rPr>
        <w:t>further increase the funding in primary schools to support pupils with low prior attainment</w:t>
      </w:r>
      <w:r w:rsidRPr="001C0E24">
        <w:rPr>
          <w:rFonts w:ascii="Arial" w:hAnsi="Arial" w:cs="Arial"/>
          <w:sz w:val="26"/>
          <w:szCs w:val="26"/>
        </w:rPr>
        <w:t>;</w:t>
      </w:r>
    </w:p>
    <w:p w:rsidRPr="001C0E24" w:rsidR="00980038" w:rsidP="0046333B" w:rsidRDefault="00980038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To apply </w:t>
      </w:r>
      <w:r w:rsidR="0059427F">
        <w:rPr>
          <w:rFonts w:ascii="Arial" w:hAnsi="Arial" w:cs="Arial"/>
          <w:sz w:val="26"/>
          <w:szCs w:val="26"/>
        </w:rPr>
        <w:t>M</w:t>
      </w:r>
      <w:r w:rsidRPr="001C0E24">
        <w:rPr>
          <w:rFonts w:ascii="Arial" w:hAnsi="Arial" w:cs="Arial"/>
          <w:sz w:val="26"/>
          <w:szCs w:val="26"/>
        </w:rPr>
        <w:t xml:space="preserve">inimum </w:t>
      </w:r>
      <w:r w:rsidR="0059427F">
        <w:rPr>
          <w:rFonts w:ascii="Arial" w:hAnsi="Arial" w:cs="Arial"/>
          <w:sz w:val="26"/>
          <w:szCs w:val="26"/>
        </w:rPr>
        <w:t>F</w:t>
      </w:r>
      <w:r w:rsidRPr="001C0E24">
        <w:rPr>
          <w:rFonts w:ascii="Arial" w:hAnsi="Arial" w:cs="Arial"/>
          <w:sz w:val="26"/>
          <w:szCs w:val="26"/>
        </w:rPr>
        <w:t xml:space="preserve">unding </w:t>
      </w:r>
      <w:r w:rsidR="0059427F">
        <w:rPr>
          <w:rFonts w:ascii="Arial" w:hAnsi="Arial" w:cs="Arial"/>
          <w:sz w:val="26"/>
          <w:szCs w:val="26"/>
        </w:rPr>
        <w:t xml:space="preserve">Level </w:t>
      </w:r>
      <w:r w:rsidRPr="001C0E24">
        <w:rPr>
          <w:rFonts w:ascii="Arial" w:hAnsi="Arial" w:cs="Arial"/>
          <w:sz w:val="26"/>
          <w:szCs w:val="26"/>
        </w:rPr>
        <w:t>thresholds of £3,</w:t>
      </w:r>
      <w:r w:rsidR="0059427F">
        <w:rPr>
          <w:rFonts w:ascii="Arial" w:hAnsi="Arial" w:cs="Arial"/>
          <w:sz w:val="26"/>
          <w:szCs w:val="26"/>
        </w:rPr>
        <w:t>5</w:t>
      </w:r>
      <w:r w:rsidRPr="001C0E24">
        <w:rPr>
          <w:rFonts w:ascii="Arial" w:hAnsi="Arial" w:cs="Arial"/>
          <w:sz w:val="26"/>
          <w:szCs w:val="26"/>
        </w:rPr>
        <w:t>00 (pri</w:t>
      </w:r>
      <w:r w:rsidR="0046333B">
        <w:rPr>
          <w:rFonts w:ascii="Arial" w:hAnsi="Arial" w:cs="Arial"/>
          <w:sz w:val="26"/>
          <w:szCs w:val="26"/>
        </w:rPr>
        <w:t>m</w:t>
      </w:r>
      <w:r w:rsidRPr="001C0E24">
        <w:rPr>
          <w:rFonts w:ascii="Arial" w:hAnsi="Arial" w:cs="Arial"/>
          <w:sz w:val="26"/>
          <w:szCs w:val="26"/>
        </w:rPr>
        <w:t>) and £4,</w:t>
      </w:r>
      <w:r w:rsidR="0059427F">
        <w:rPr>
          <w:rFonts w:ascii="Arial" w:hAnsi="Arial" w:cs="Arial"/>
          <w:sz w:val="26"/>
          <w:szCs w:val="26"/>
        </w:rPr>
        <w:t>8</w:t>
      </w:r>
      <w:r w:rsidRPr="001C0E24">
        <w:rPr>
          <w:rFonts w:ascii="Arial" w:hAnsi="Arial" w:cs="Arial"/>
          <w:sz w:val="26"/>
          <w:szCs w:val="26"/>
        </w:rPr>
        <w:t>00 (sec);</w:t>
      </w:r>
    </w:p>
    <w:p w:rsidR="00980038" w:rsidP="0046333B" w:rsidRDefault="00980038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To </w:t>
      </w:r>
      <w:r w:rsidR="0059427F">
        <w:rPr>
          <w:rFonts w:ascii="Arial" w:hAnsi="Arial" w:cs="Arial"/>
          <w:sz w:val="26"/>
          <w:szCs w:val="26"/>
        </w:rPr>
        <w:t>introduce a Minimum Funding Floor to guarantee a 1% per pupil increase for every school compared with 2017-18 baselines; and</w:t>
      </w:r>
    </w:p>
    <w:p w:rsidRPr="001C0E24" w:rsidR="0059427F" w:rsidP="0046333B" w:rsidRDefault="0059427F">
      <w:pPr>
        <w:pStyle w:val="ListParagraph"/>
        <w:numPr>
          <w:ilvl w:val="0"/>
          <w:numId w:val="17"/>
        </w:numPr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seek views on how the LA should respond </w:t>
      </w:r>
      <w:r w:rsidR="00201BF7">
        <w:rPr>
          <w:rFonts w:ascii="Arial" w:hAnsi="Arial" w:cs="Arial"/>
          <w:sz w:val="26"/>
          <w:szCs w:val="26"/>
        </w:rPr>
        <w:t xml:space="preserve">if </w:t>
      </w:r>
      <w:r>
        <w:rPr>
          <w:rFonts w:ascii="Arial" w:hAnsi="Arial" w:cs="Arial"/>
          <w:sz w:val="26"/>
          <w:szCs w:val="26"/>
        </w:rPr>
        <w:t xml:space="preserve">the amount it received as growth funding </w:t>
      </w:r>
      <w:r w:rsidR="00201BF7">
        <w:rPr>
          <w:rFonts w:ascii="Arial" w:hAnsi="Arial" w:cs="Arial"/>
          <w:sz w:val="26"/>
          <w:szCs w:val="26"/>
        </w:rPr>
        <w:t xml:space="preserve">were to </w:t>
      </w:r>
      <w:r>
        <w:rPr>
          <w:rFonts w:ascii="Arial" w:hAnsi="Arial" w:cs="Arial"/>
          <w:sz w:val="26"/>
          <w:szCs w:val="26"/>
        </w:rPr>
        <w:t>reduce.</w:t>
      </w:r>
    </w:p>
    <w:p w:rsidR="00E352A1" w:rsidP="00F101F1" w:rsidRDefault="00E352A1">
      <w:pPr>
        <w:tabs>
          <w:tab w:val="left" w:pos="1418"/>
        </w:tabs>
        <w:ind w:left="284" w:hanging="709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ab/>
      </w:r>
    </w:p>
    <w:p w:rsidR="0046333B" w:rsidP="00F101F1" w:rsidRDefault="0046333B">
      <w:pPr>
        <w:tabs>
          <w:tab w:val="left" w:pos="1418"/>
        </w:tabs>
        <w:ind w:left="284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The responses </w:t>
      </w:r>
      <w:r w:rsidR="003939F0">
        <w:rPr>
          <w:rFonts w:ascii="Arial" w:hAnsi="Arial" w:cs="Arial"/>
          <w:sz w:val="26"/>
          <w:szCs w:val="26"/>
        </w:rPr>
        <w:t xml:space="preserve">to the questions on the LA’s proposals </w:t>
      </w:r>
      <w:r>
        <w:rPr>
          <w:rFonts w:ascii="Arial" w:hAnsi="Arial" w:cs="Arial"/>
          <w:sz w:val="26"/>
          <w:szCs w:val="26"/>
        </w:rPr>
        <w:t>are summarised below.</w:t>
      </w:r>
    </w:p>
    <w:p w:rsidRPr="001C0E24" w:rsidR="0046333B" w:rsidP="00F101F1" w:rsidRDefault="0046333B">
      <w:pPr>
        <w:tabs>
          <w:tab w:val="left" w:pos="1418"/>
        </w:tabs>
        <w:ind w:left="284" w:hanging="709"/>
        <w:rPr>
          <w:rFonts w:ascii="Arial" w:hAnsi="Arial" w:cs="Arial"/>
          <w:sz w:val="22"/>
          <w:szCs w:val="26"/>
        </w:rPr>
      </w:pPr>
    </w:p>
    <w:tbl>
      <w:tblPr>
        <w:tblStyle w:val="TableGrid"/>
        <w:tblW w:w="108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826"/>
        <w:gridCol w:w="850"/>
        <w:gridCol w:w="256"/>
        <w:gridCol w:w="903"/>
        <w:gridCol w:w="850"/>
        <w:gridCol w:w="879"/>
      </w:tblGrid>
      <w:tr w:rsidRPr="001C0E24" w:rsidR="003133AC" w:rsidTr="003939F0">
        <w:tc>
          <w:tcPr>
            <w:tcW w:w="5387" w:type="dxa"/>
          </w:tcPr>
          <w:p w:rsidRPr="001C0E24" w:rsidR="003133AC" w:rsidP="00F101F1" w:rsidRDefault="003133A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27" w:type="dxa"/>
            <w:gridSpan w:val="3"/>
          </w:tcPr>
          <w:p w:rsidRPr="001C0E24" w:rsidR="003133AC" w:rsidP="0046333B" w:rsidRDefault="003133A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C0E24">
              <w:rPr>
                <w:rFonts w:ascii="Arial" w:hAnsi="Arial" w:cs="Arial"/>
                <w:sz w:val="22"/>
              </w:rPr>
              <w:t>Primary (</w:t>
            </w:r>
            <w:r w:rsidR="0046333B">
              <w:rPr>
                <w:rFonts w:ascii="Arial" w:hAnsi="Arial" w:cs="Arial"/>
                <w:sz w:val="22"/>
              </w:rPr>
              <w:t>25</w:t>
            </w:r>
            <w:r w:rsidRPr="001C0E2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1C0E24" w:rsidR="003133AC" w:rsidP="00980038" w:rsidRDefault="003133A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2" w:type="dxa"/>
            <w:gridSpan w:val="3"/>
          </w:tcPr>
          <w:p w:rsidRPr="001C0E24" w:rsidR="003133AC" w:rsidP="0046333B" w:rsidRDefault="003133A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C0E24">
              <w:rPr>
                <w:rFonts w:ascii="Arial" w:hAnsi="Arial" w:cs="Arial"/>
                <w:sz w:val="22"/>
              </w:rPr>
              <w:t>Secondary (</w:t>
            </w:r>
            <w:r w:rsidR="0046333B">
              <w:rPr>
                <w:rFonts w:ascii="Arial" w:hAnsi="Arial" w:cs="Arial"/>
                <w:sz w:val="22"/>
              </w:rPr>
              <w:t>3</w:t>
            </w:r>
            <w:r w:rsidRPr="001C0E24">
              <w:rPr>
                <w:rFonts w:ascii="Arial" w:hAnsi="Arial" w:cs="Arial"/>
                <w:sz w:val="22"/>
              </w:rPr>
              <w:t>)</w:t>
            </w:r>
          </w:p>
        </w:tc>
      </w:tr>
      <w:tr w:rsidRPr="001C0E24" w:rsidR="003133AC" w:rsidTr="003939F0">
        <w:tc>
          <w:tcPr>
            <w:tcW w:w="5387" w:type="dxa"/>
            <w:vAlign w:val="center"/>
          </w:tcPr>
          <w:p w:rsidRPr="001C0E24" w:rsidR="003133AC" w:rsidP="00EE47A7" w:rsidRDefault="003133A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1C0E24">
              <w:rPr>
                <w:rFonts w:ascii="Arial" w:hAnsi="Arial" w:cs="Arial"/>
                <w:sz w:val="22"/>
              </w:rPr>
              <w:t>Question</w:t>
            </w:r>
          </w:p>
        </w:tc>
        <w:tc>
          <w:tcPr>
            <w:tcW w:w="851" w:type="dxa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Agree</w:t>
            </w:r>
          </w:p>
        </w:tc>
        <w:tc>
          <w:tcPr>
            <w:tcW w:w="826" w:type="dxa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Dis- agree</w:t>
            </w:r>
          </w:p>
        </w:tc>
        <w:tc>
          <w:tcPr>
            <w:tcW w:w="850" w:type="dxa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Don’t Know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" w:type="dxa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Agree</w:t>
            </w:r>
          </w:p>
        </w:tc>
        <w:tc>
          <w:tcPr>
            <w:tcW w:w="850" w:type="dxa"/>
          </w:tcPr>
          <w:p w:rsidRPr="003939F0" w:rsidR="003133AC" w:rsidP="00980038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Dis- agree</w:t>
            </w:r>
          </w:p>
        </w:tc>
        <w:tc>
          <w:tcPr>
            <w:tcW w:w="879" w:type="dxa"/>
          </w:tcPr>
          <w:p w:rsidRPr="003939F0" w:rsidR="003133AC" w:rsidP="003133AC" w:rsidRDefault="003133AC">
            <w:pPr>
              <w:tabs>
                <w:tab w:val="left" w:pos="1418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Don’t Know</w:t>
            </w:r>
          </w:p>
        </w:tc>
      </w:tr>
      <w:tr w:rsidRPr="001C0E24" w:rsidR="003133AC" w:rsidTr="003939F0">
        <w:tc>
          <w:tcPr>
            <w:tcW w:w="5387" w:type="dxa"/>
          </w:tcPr>
          <w:p w:rsidRPr="00201BF7" w:rsidR="003133AC" w:rsidP="00B80CEA" w:rsidRDefault="0059427F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 w:rsidRPr="00201BF7">
              <w:rPr>
                <w:rFonts w:ascii="Arial" w:hAnsi="Arial" w:cs="Arial"/>
                <w:sz w:val="23"/>
                <w:szCs w:val="23"/>
              </w:rPr>
              <w:t xml:space="preserve">Q1a. Do you agree with the proposal to set an MFG of 0.0% per pupil for 2019-20?  </w:t>
            </w:r>
          </w:p>
        </w:tc>
        <w:tc>
          <w:tcPr>
            <w:tcW w:w="851" w:type="dxa"/>
            <w:vAlign w:val="center"/>
          </w:tcPr>
          <w:p w:rsidRPr="00201BF7" w:rsidR="003133AC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26" w:type="dxa"/>
            <w:vAlign w:val="center"/>
          </w:tcPr>
          <w:p w:rsidRPr="00201BF7" w:rsidR="003133AC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Pr="00201BF7" w:rsidR="003133AC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3133AC" w:rsidP="0046333B" w:rsidRDefault="003133A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3133AC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Pr="00201BF7" w:rsidR="003133AC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79" w:type="dxa"/>
            <w:vAlign w:val="center"/>
          </w:tcPr>
          <w:p w:rsidRPr="00201BF7" w:rsidR="003133AC" w:rsidP="0046333B" w:rsidRDefault="002B20E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Pr="001C0E24" w:rsidR="002B20E0" w:rsidTr="003939F0">
        <w:tc>
          <w:tcPr>
            <w:tcW w:w="5387" w:type="dxa"/>
          </w:tcPr>
          <w:p w:rsidRPr="00201BF7"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 w:rsidRPr="00201BF7">
              <w:rPr>
                <w:rFonts w:ascii="Arial" w:hAnsi="Arial" w:cs="Arial"/>
                <w:sz w:val="23"/>
                <w:szCs w:val="23"/>
              </w:rPr>
              <w:t xml:space="preserve">Q2a. Do you agree with the Authority’s proposal to cap gains at 3% per pupil in 2019-20?  </w:t>
            </w:r>
          </w:p>
        </w:tc>
        <w:tc>
          <w:tcPr>
            <w:tcW w:w="851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826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79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Pr="001C0E24" w:rsidR="002B20E0" w:rsidTr="003939F0">
        <w:tc>
          <w:tcPr>
            <w:tcW w:w="5387" w:type="dxa"/>
          </w:tcPr>
          <w:p w:rsidRPr="00201BF7"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 w:rsidRPr="00201BF7">
              <w:rPr>
                <w:rFonts w:ascii="Arial" w:hAnsi="Arial" w:cs="Arial"/>
                <w:sz w:val="23"/>
                <w:szCs w:val="23"/>
              </w:rPr>
              <w:t>Q3a. Do primary schools agree with the proposal to increase the amount delegated through the LPA factor in 2019-20?</w:t>
            </w:r>
          </w:p>
        </w:tc>
        <w:tc>
          <w:tcPr>
            <w:tcW w:w="851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826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879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Pr="001C0E24" w:rsidR="002B20E0" w:rsidTr="003939F0">
        <w:tc>
          <w:tcPr>
            <w:tcW w:w="5387" w:type="dxa"/>
          </w:tcPr>
          <w:p w:rsidRPr="00201BF7"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 w:rsidRPr="00201BF7">
              <w:rPr>
                <w:rFonts w:ascii="Arial" w:hAnsi="Arial" w:cs="Arial"/>
                <w:sz w:val="23"/>
                <w:szCs w:val="23"/>
              </w:rPr>
              <w:t>Q4. Do you agree with the Authority’s proposal to increase the MFL rates for 2019-20?</w:t>
            </w:r>
          </w:p>
        </w:tc>
        <w:tc>
          <w:tcPr>
            <w:tcW w:w="851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26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79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Pr="001C0E24" w:rsidR="002B20E0" w:rsidTr="003939F0">
        <w:tc>
          <w:tcPr>
            <w:tcW w:w="5387" w:type="dxa"/>
          </w:tcPr>
          <w:p w:rsidRPr="00201BF7"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 w:rsidRPr="00201BF7">
              <w:rPr>
                <w:rFonts w:ascii="Arial" w:hAnsi="Arial" w:cs="Arial"/>
                <w:sz w:val="23"/>
                <w:szCs w:val="23"/>
              </w:rPr>
              <w:t>Q5. Would you support the introduction of the 1% Funding Floor for 2019-20?</w:t>
            </w:r>
          </w:p>
        </w:tc>
        <w:tc>
          <w:tcPr>
            <w:tcW w:w="851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826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79" w:type="dxa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Pr="001C0E24" w:rsidR="002B20E0" w:rsidTr="003939F0">
        <w:trPr>
          <w:trHeight w:val="121"/>
        </w:trPr>
        <w:tc>
          <w:tcPr>
            <w:tcW w:w="5387" w:type="dxa"/>
            <w:shd w:val="clear" w:color="auto" w:fill="548DD4" w:themeFill="text2" w:themeFillTint="99"/>
          </w:tcPr>
          <w:p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6" w:type="dxa"/>
            <w:shd w:val="clear" w:color="auto" w:fill="548DD4" w:themeFill="text2" w:themeFillTint="99"/>
            <w:vAlign w:val="center"/>
          </w:tcPr>
          <w:p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548DD4" w:themeFill="text2" w:themeFillTint="99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9" w:type="dxa"/>
            <w:shd w:val="clear" w:color="auto" w:fill="548DD4" w:themeFill="text2" w:themeFillTint="99"/>
            <w:vAlign w:val="center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1C0E24" w:rsidR="003939F0" w:rsidTr="003939F0">
        <w:tc>
          <w:tcPr>
            <w:tcW w:w="5387" w:type="dxa"/>
          </w:tcPr>
          <w:p w:rsidR="003939F0" w:rsidP="003939F0" w:rsidRDefault="003939F0">
            <w:pPr>
              <w:tabs>
                <w:tab w:val="left" w:pos="14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AWPU red’n</w:t>
            </w:r>
          </w:p>
        </w:tc>
        <w:tc>
          <w:tcPr>
            <w:tcW w:w="826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KS1 red’n</w:t>
            </w:r>
          </w:p>
        </w:tc>
        <w:tc>
          <w:tcPr>
            <w:tcW w:w="850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Don’t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39F0">
              <w:rPr>
                <w:rFonts w:ascii="Arial" w:hAnsi="Arial" w:cs="Arial"/>
                <w:sz w:val="21"/>
                <w:szCs w:val="21"/>
              </w:rPr>
              <w:t>Know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AWPU red’n</w:t>
            </w:r>
          </w:p>
        </w:tc>
        <w:tc>
          <w:tcPr>
            <w:tcW w:w="850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KS1 red’n</w:t>
            </w:r>
          </w:p>
        </w:tc>
        <w:tc>
          <w:tcPr>
            <w:tcW w:w="879" w:type="dxa"/>
            <w:vAlign w:val="center"/>
          </w:tcPr>
          <w:p w:rsidRPr="003939F0" w:rsidR="003939F0" w:rsidP="003939F0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9F0">
              <w:rPr>
                <w:rFonts w:ascii="Arial" w:hAnsi="Arial" w:cs="Arial"/>
                <w:sz w:val="21"/>
                <w:szCs w:val="21"/>
              </w:rPr>
              <w:t>Don’t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39F0">
              <w:rPr>
                <w:rFonts w:ascii="Arial" w:hAnsi="Arial" w:cs="Arial"/>
                <w:sz w:val="21"/>
                <w:szCs w:val="21"/>
              </w:rPr>
              <w:t>Know</w:t>
            </w:r>
          </w:p>
        </w:tc>
      </w:tr>
      <w:tr w:rsidRPr="001C0E24" w:rsidR="002B20E0" w:rsidTr="003939F0">
        <w:tc>
          <w:tcPr>
            <w:tcW w:w="5387" w:type="dxa"/>
          </w:tcPr>
          <w:p w:rsidRPr="00201BF7" w:rsidR="002B20E0" w:rsidP="0059427F" w:rsidRDefault="002B20E0">
            <w:pPr>
              <w:tabs>
                <w:tab w:val="left" w:pos="1418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Cs w:val="24"/>
              </w:rPr>
              <w:t>Q6. Should it be necessary, would you prefer that the LA reduced the AWPU multiplier to reinstate any shortfall or reduce the level of Key Stage 1 support provided?</w:t>
            </w:r>
          </w:p>
        </w:tc>
        <w:tc>
          <w:tcPr>
            <w:tcW w:w="851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26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256" w:type="dxa"/>
            <w:shd w:val="clear" w:color="auto" w:fill="548DD4" w:themeFill="text2" w:themeFillTint="99"/>
          </w:tcPr>
          <w:p w:rsidRPr="00201BF7" w:rsidR="002B20E0" w:rsidP="0046333B" w:rsidRDefault="002B20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3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79" w:type="dxa"/>
            <w:vAlign w:val="center"/>
          </w:tcPr>
          <w:p w:rsidRPr="00201BF7" w:rsidR="002B20E0" w:rsidP="0046333B" w:rsidRDefault="003939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</w:tbl>
    <w:p w:rsidR="002B20E0" w:rsidP="00C418D4" w:rsidRDefault="002B20E0">
      <w:pPr>
        <w:ind w:left="284"/>
        <w:rPr>
          <w:rFonts w:ascii="Arial" w:hAnsi="Arial" w:cs="Arial"/>
          <w:sz w:val="26"/>
          <w:szCs w:val="26"/>
        </w:rPr>
      </w:pPr>
    </w:p>
    <w:p w:rsidR="003939F0" w:rsidP="00C418D4" w:rsidRDefault="003939F0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The consultation also asked for view</w:t>
      </w:r>
      <w:r w:rsidR="00361A43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on whether the levels of MFG protection</w:t>
      </w:r>
      <w:r w:rsidR="00361A43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 xml:space="preserve">the cap on gains should be higher or lower than those proposed in the consultation. Most respondents felt unable to answer these technical questions. Only two schools gave a view on the MFG rate (Q1b), with </w:t>
      </w:r>
      <w:r w:rsidR="00361A43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primary </w:t>
      </w:r>
      <w:r w:rsidR="00361A43">
        <w:rPr>
          <w:rFonts w:ascii="Arial" w:hAnsi="Arial" w:cs="Arial"/>
          <w:sz w:val="26"/>
          <w:szCs w:val="26"/>
        </w:rPr>
        <w:t xml:space="preserve">sector respondent </w:t>
      </w:r>
      <w:r>
        <w:rPr>
          <w:rFonts w:ascii="Arial" w:hAnsi="Arial" w:cs="Arial"/>
          <w:sz w:val="26"/>
          <w:szCs w:val="26"/>
        </w:rPr>
        <w:t>believing the MFG rate should be lower (i.e. less protection) whilst the secondary school responde</w:t>
      </w:r>
      <w:r w:rsidR="00361A43">
        <w:rPr>
          <w:rFonts w:ascii="Arial" w:hAnsi="Arial" w:cs="Arial"/>
          <w:sz w:val="26"/>
          <w:szCs w:val="26"/>
        </w:rPr>
        <w:t>nt</w:t>
      </w:r>
      <w:r>
        <w:rPr>
          <w:rFonts w:ascii="Arial" w:hAnsi="Arial" w:cs="Arial"/>
          <w:sz w:val="26"/>
          <w:szCs w:val="26"/>
        </w:rPr>
        <w:t xml:space="preserve"> felt the protection ought to be higher (i.e. more protection).</w:t>
      </w:r>
    </w:p>
    <w:p w:rsidR="003939F0" w:rsidP="00C418D4" w:rsidRDefault="003939F0">
      <w:pPr>
        <w:ind w:left="284"/>
        <w:rPr>
          <w:rFonts w:ascii="Arial" w:hAnsi="Arial" w:cs="Arial"/>
          <w:sz w:val="26"/>
          <w:szCs w:val="26"/>
        </w:rPr>
      </w:pPr>
    </w:p>
    <w:p w:rsidR="003939F0" w:rsidP="00C418D4" w:rsidRDefault="003939F0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Similarly on the question of the cap on gains (Q2b), </w:t>
      </w:r>
      <w:r w:rsidR="00361A43">
        <w:rPr>
          <w:rFonts w:ascii="Arial" w:hAnsi="Arial" w:cs="Arial"/>
          <w:sz w:val="26"/>
          <w:szCs w:val="26"/>
        </w:rPr>
        <w:t xml:space="preserve">of the </w:t>
      </w:r>
      <w:r w:rsidR="00087A3E">
        <w:rPr>
          <w:rFonts w:ascii="Arial" w:hAnsi="Arial" w:cs="Arial"/>
          <w:sz w:val="26"/>
          <w:szCs w:val="26"/>
        </w:rPr>
        <w:t xml:space="preserve">four </w:t>
      </w:r>
      <w:r w:rsidR="00361A43">
        <w:rPr>
          <w:rFonts w:ascii="Arial" w:hAnsi="Arial" w:cs="Arial"/>
          <w:sz w:val="26"/>
          <w:szCs w:val="26"/>
        </w:rPr>
        <w:t>primary schools that gave a view three wanted a higher (more expensive) cap and one a lower (less expensive) cap.</w:t>
      </w:r>
      <w:r w:rsidR="00087A3E">
        <w:rPr>
          <w:rFonts w:ascii="Arial" w:hAnsi="Arial" w:cs="Arial"/>
          <w:sz w:val="26"/>
          <w:szCs w:val="26"/>
        </w:rPr>
        <w:t xml:space="preserve"> One school commented that applying a cap means it will take several years before all of the gains have been release. They also argued that it would be fairer to release a proportion of the overall capped gain rather than a flat rate percentage. </w:t>
      </w:r>
    </w:p>
    <w:p w:rsidR="003939F0" w:rsidP="00C418D4" w:rsidRDefault="003939F0">
      <w:pPr>
        <w:ind w:left="284"/>
        <w:rPr>
          <w:rFonts w:ascii="Arial" w:hAnsi="Arial" w:cs="Arial"/>
          <w:sz w:val="26"/>
          <w:szCs w:val="26"/>
        </w:rPr>
      </w:pPr>
    </w:p>
    <w:p w:rsidR="00201BF7" w:rsidP="00C418D4" w:rsidRDefault="00F26ED0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Another comment was that </w:t>
      </w:r>
      <w:r w:rsidR="00201BF7">
        <w:rPr>
          <w:rFonts w:ascii="Arial" w:hAnsi="Arial" w:cs="Arial"/>
          <w:sz w:val="26"/>
          <w:szCs w:val="26"/>
        </w:rPr>
        <w:t>the cap on gains should be more generous</w:t>
      </w:r>
      <w:r>
        <w:rPr>
          <w:rFonts w:ascii="Arial" w:hAnsi="Arial" w:cs="Arial"/>
          <w:sz w:val="26"/>
          <w:szCs w:val="26"/>
        </w:rPr>
        <w:t xml:space="preserve"> to ensure that schools received </w:t>
      </w:r>
      <w:r w:rsidR="00201BF7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increased </w:t>
      </w:r>
      <w:r w:rsidR="00201BF7">
        <w:rPr>
          <w:rFonts w:ascii="Arial" w:hAnsi="Arial" w:cs="Arial"/>
          <w:sz w:val="26"/>
          <w:szCs w:val="26"/>
        </w:rPr>
        <w:t xml:space="preserve">funding </w:t>
      </w:r>
      <w:r>
        <w:rPr>
          <w:rFonts w:ascii="Arial" w:hAnsi="Arial" w:cs="Arial"/>
          <w:sz w:val="26"/>
          <w:szCs w:val="26"/>
        </w:rPr>
        <w:t xml:space="preserve">from adopting a higher </w:t>
      </w:r>
      <w:r w:rsidR="00201BF7">
        <w:rPr>
          <w:rFonts w:ascii="Arial" w:hAnsi="Arial" w:cs="Arial"/>
          <w:sz w:val="26"/>
          <w:szCs w:val="26"/>
        </w:rPr>
        <w:t xml:space="preserve">low prior attainment </w:t>
      </w:r>
      <w:r>
        <w:rPr>
          <w:rFonts w:ascii="Arial" w:hAnsi="Arial" w:cs="Arial"/>
          <w:sz w:val="26"/>
          <w:szCs w:val="26"/>
        </w:rPr>
        <w:t>multiplier</w:t>
      </w:r>
      <w:r w:rsidR="00201BF7">
        <w:rPr>
          <w:rFonts w:ascii="Arial" w:hAnsi="Arial" w:cs="Arial"/>
          <w:sz w:val="26"/>
          <w:szCs w:val="26"/>
        </w:rPr>
        <w:t xml:space="preserve">. </w:t>
      </w:r>
      <w:r w:rsidR="00EE121A">
        <w:rPr>
          <w:rFonts w:ascii="Arial" w:hAnsi="Arial" w:cs="Arial"/>
          <w:sz w:val="26"/>
          <w:szCs w:val="26"/>
        </w:rPr>
        <w:t xml:space="preserve">Their </w:t>
      </w:r>
      <w:r w:rsidR="00201BF7">
        <w:rPr>
          <w:rFonts w:ascii="Arial" w:hAnsi="Arial" w:cs="Arial"/>
          <w:sz w:val="26"/>
          <w:szCs w:val="26"/>
        </w:rPr>
        <w:t xml:space="preserve">preference was to set the LPA rate at £800 </w:t>
      </w:r>
      <w:r w:rsidRPr="00EE121A" w:rsidR="00201BF7">
        <w:rPr>
          <w:rFonts w:ascii="Arial" w:hAnsi="Arial" w:cs="Arial"/>
          <w:sz w:val="26"/>
          <w:szCs w:val="26"/>
          <w:u w:val="single"/>
        </w:rPr>
        <w:t>and</w:t>
      </w:r>
      <w:r w:rsidR="00201BF7">
        <w:rPr>
          <w:rFonts w:ascii="Arial" w:hAnsi="Arial" w:cs="Arial"/>
          <w:sz w:val="26"/>
          <w:szCs w:val="26"/>
        </w:rPr>
        <w:t xml:space="preserve"> release the capped gains. Another respondent felt that there should be no cap on gains </w:t>
      </w:r>
      <w:r w:rsidR="000C3BA3">
        <w:rPr>
          <w:rFonts w:ascii="Arial" w:hAnsi="Arial" w:cs="Arial"/>
          <w:sz w:val="26"/>
          <w:szCs w:val="26"/>
        </w:rPr>
        <w:t xml:space="preserve">as </w:t>
      </w:r>
      <w:r w:rsidR="00201BF7">
        <w:rPr>
          <w:rFonts w:ascii="Arial" w:hAnsi="Arial" w:cs="Arial"/>
          <w:sz w:val="26"/>
          <w:szCs w:val="26"/>
        </w:rPr>
        <w:t xml:space="preserve">the cost in overall terms was relatively modest but was significant for the schools affected. </w:t>
      </w:r>
      <w:r w:rsidR="006231E2">
        <w:rPr>
          <w:rFonts w:ascii="Arial" w:hAnsi="Arial" w:cs="Arial"/>
          <w:sz w:val="26"/>
          <w:szCs w:val="26"/>
        </w:rPr>
        <w:t xml:space="preserve">One school was against the introduction of the funding floor as this used </w:t>
      </w:r>
      <w:r w:rsidR="003B4E99">
        <w:rPr>
          <w:rFonts w:ascii="Arial" w:hAnsi="Arial" w:cs="Arial"/>
          <w:sz w:val="26"/>
          <w:szCs w:val="26"/>
        </w:rPr>
        <w:t xml:space="preserve">resources </w:t>
      </w:r>
      <w:r w:rsidR="006231E2">
        <w:rPr>
          <w:rFonts w:ascii="Arial" w:hAnsi="Arial" w:cs="Arial"/>
          <w:sz w:val="26"/>
          <w:szCs w:val="26"/>
        </w:rPr>
        <w:t>which would otherwise be available to increase the cap.</w:t>
      </w:r>
    </w:p>
    <w:p w:rsidRPr="003B4E99" w:rsidR="00201BF7" w:rsidP="00C418D4" w:rsidRDefault="00201BF7">
      <w:pPr>
        <w:ind w:left="284"/>
        <w:rPr>
          <w:rFonts w:ascii="Arial" w:hAnsi="Arial" w:cs="Arial"/>
          <w:sz w:val="22"/>
          <w:szCs w:val="26"/>
        </w:rPr>
      </w:pPr>
    </w:p>
    <w:p w:rsidR="003B4E99" w:rsidP="00C418D4" w:rsidRDefault="00C71744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One school </w:t>
      </w:r>
      <w:r w:rsidR="003B4E99">
        <w:rPr>
          <w:rFonts w:ascii="Arial" w:hAnsi="Arial" w:cs="Arial"/>
          <w:sz w:val="26"/>
          <w:szCs w:val="26"/>
        </w:rPr>
        <w:t xml:space="preserve">was against most of the proposals in the consultation, arguing instead that budgets should be linked to pupil numbers with every pupil receiving the same funding. </w:t>
      </w:r>
    </w:p>
    <w:p w:rsidRPr="003B4E99" w:rsidR="003B4E99" w:rsidP="00C418D4" w:rsidRDefault="003B4E99">
      <w:pPr>
        <w:ind w:left="284"/>
        <w:rPr>
          <w:rFonts w:ascii="Arial" w:hAnsi="Arial" w:cs="Arial"/>
          <w:sz w:val="22"/>
          <w:szCs w:val="26"/>
        </w:rPr>
      </w:pPr>
    </w:p>
    <w:p w:rsidR="00201BF7" w:rsidP="00C418D4" w:rsidRDefault="000C3BA3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Several </w:t>
      </w:r>
      <w:r w:rsidR="00C71744">
        <w:rPr>
          <w:rFonts w:ascii="Arial" w:hAnsi="Arial" w:cs="Arial"/>
          <w:sz w:val="26"/>
          <w:szCs w:val="26"/>
        </w:rPr>
        <w:t xml:space="preserve">schools felt unable to comment further on the LA’s proposals as they </w:t>
      </w:r>
      <w:r>
        <w:rPr>
          <w:rFonts w:ascii="Arial" w:hAnsi="Arial" w:cs="Arial"/>
          <w:sz w:val="26"/>
          <w:szCs w:val="26"/>
        </w:rPr>
        <w:t xml:space="preserve">felt they </w:t>
      </w:r>
      <w:r w:rsidR="00C71744">
        <w:rPr>
          <w:rFonts w:ascii="Arial" w:hAnsi="Arial" w:cs="Arial"/>
          <w:sz w:val="26"/>
          <w:szCs w:val="26"/>
        </w:rPr>
        <w:t>had insufficient information.</w:t>
      </w:r>
    </w:p>
    <w:p w:rsidRPr="003B4E99" w:rsidR="00201BF7" w:rsidP="00C418D4" w:rsidRDefault="00201BF7">
      <w:pPr>
        <w:ind w:left="284"/>
        <w:rPr>
          <w:rFonts w:ascii="Arial" w:hAnsi="Arial" w:cs="Arial"/>
          <w:sz w:val="22"/>
          <w:szCs w:val="26"/>
        </w:rPr>
      </w:pPr>
    </w:p>
    <w:p w:rsidR="00361A43" w:rsidP="00C418D4" w:rsidRDefault="00C71744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With regard to the </w:t>
      </w:r>
      <w:r w:rsidR="003B4E99">
        <w:rPr>
          <w:rFonts w:ascii="Arial" w:hAnsi="Arial" w:cs="Arial"/>
          <w:sz w:val="26"/>
          <w:szCs w:val="26"/>
        </w:rPr>
        <w:t xml:space="preserve">final consultation </w:t>
      </w:r>
      <w:r>
        <w:rPr>
          <w:rFonts w:ascii="Arial" w:hAnsi="Arial" w:cs="Arial"/>
          <w:sz w:val="26"/>
          <w:szCs w:val="26"/>
        </w:rPr>
        <w:t xml:space="preserve">question, which asked respondents to consider what action the LA should take if the growth funding reduced, a majority were in favour of </w:t>
      </w:r>
      <w:r w:rsidR="00361A43">
        <w:rPr>
          <w:rFonts w:ascii="Arial" w:hAnsi="Arial" w:cs="Arial"/>
          <w:sz w:val="26"/>
          <w:szCs w:val="26"/>
        </w:rPr>
        <w:t>reducing the Key Stage 1 offer rather than cutting the AWPU multiplier.  One respondent made the interesting point that the two options had a differential impact</w:t>
      </w:r>
      <w:r w:rsidR="000C3BA3">
        <w:rPr>
          <w:rFonts w:ascii="Arial" w:hAnsi="Arial" w:cs="Arial"/>
          <w:sz w:val="26"/>
          <w:szCs w:val="26"/>
        </w:rPr>
        <w:t xml:space="preserve">. The </w:t>
      </w:r>
      <w:r w:rsidR="00361A43">
        <w:rPr>
          <w:rFonts w:ascii="Arial" w:hAnsi="Arial" w:cs="Arial"/>
          <w:sz w:val="26"/>
          <w:szCs w:val="26"/>
        </w:rPr>
        <w:t xml:space="preserve">cut in AWPU funding </w:t>
      </w:r>
      <w:r w:rsidR="000C3BA3">
        <w:rPr>
          <w:rFonts w:ascii="Arial" w:hAnsi="Arial" w:cs="Arial"/>
          <w:sz w:val="26"/>
          <w:szCs w:val="26"/>
        </w:rPr>
        <w:t xml:space="preserve">would </w:t>
      </w:r>
      <w:r w:rsidR="00361A43">
        <w:rPr>
          <w:rFonts w:ascii="Arial" w:hAnsi="Arial" w:cs="Arial"/>
          <w:sz w:val="26"/>
          <w:szCs w:val="26"/>
        </w:rPr>
        <w:t>affect</w:t>
      </w:r>
      <w:r w:rsidR="000C3BA3">
        <w:rPr>
          <w:rFonts w:ascii="Arial" w:hAnsi="Arial" w:cs="Arial"/>
          <w:sz w:val="26"/>
          <w:szCs w:val="26"/>
        </w:rPr>
        <w:t xml:space="preserve"> </w:t>
      </w:r>
      <w:r w:rsidR="00361A43">
        <w:rPr>
          <w:rFonts w:ascii="Arial" w:hAnsi="Arial" w:cs="Arial"/>
          <w:sz w:val="26"/>
          <w:szCs w:val="26"/>
        </w:rPr>
        <w:t xml:space="preserve">all </w:t>
      </w:r>
      <w:r w:rsidR="00087A3E">
        <w:rPr>
          <w:rFonts w:ascii="Arial" w:hAnsi="Arial" w:cs="Arial"/>
          <w:sz w:val="26"/>
          <w:szCs w:val="26"/>
        </w:rPr>
        <w:t xml:space="preserve">primary sector </w:t>
      </w:r>
      <w:r w:rsidR="00361A43">
        <w:rPr>
          <w:rFonts w:ascii="Arial" w:hAnsi="Arial" w:cs="Arial"/>
          <w:sz w:val="26"/>
          <w:szCs w:val="26"/>
        </w:rPr>
        <w:t xml:space="preserve">schools whilst the reduction in the KS1 fund would </w:t>
      </w:r>
      <w:r w:rsidR="00087A3E">
        <w:rPr>
          <w:rFonts w:ascii="Arial" w:hAnsi="Arial" w:cs="Arial"/>
          <w:sz w:val="26"/>
          <w:szCs w:val="26"/>
        </w:rPr>
        <w:t>only affect those with KS1 pupils.</w:t>
      </w:r>
    </w:p>
    <w:p w:rsidR="00361A43" w:rsidP="00C418D4" w:rsidRDefault="00361A43">
      <w:pPr>
        <w:ind w:left="284"/>
        <w:rPr>
          <w:rFonts w:ascii="Arial" w:hAnsi="Arial" w:cs="Arial"/>
          <w:sz w:val="26"/>
          <w:szCs w:val="26"/>
        </w:rPr>
      </w:pPr>
    </w:p>
    <w:p w:rsidR="00201BF7" w:rsidP="00C418D4" w:rsidRDefault="00C71744">
      <w:pPr>
        <w:ind w:left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However, </w:t>
      </w:r>
      <w:r w:rsidR="003B4E99">
        <w:rPr>
          <w:rFonts w:ascii="Arial" w:hAnsi="Arial" w:cs="Arial"/>
          <w:sz w:val="26"/>
          <w:szCs w:val="26"/>
        </w:rPr>
        <w:t xml:space="preserve">as the </w:t>
      </w:r>
      <w:r w:rsidR="00535D5C">
        <w:rPr>
          <w:rFonts w:ascii="Arial" w:hAnsi="Arial" w:cs="Arial"/>
          <w:sz w:val="26"/>
          <w:szCs w:val="26"/>
        </w:rPr>
        <w:t xml:space="preserve">Pupil Growth </w:t>
      </w:r>
      <w:r w:rsidR="003B4E99">
        <w:rPr>
          <w:rFonts w:ascii="Arial" w:hAnsi="Arial" w:cs="Arial"/>
          <w:sz w:val="26"/>
          <w:szCs w:val="26"/>
        </w:rPr>
        <w:t xml:space="preserve">agenda item </w:t>
      </w:r>
      <w:r w:rsidR="00535D5C">
        <w:rPr>
          <w:rFonts w:ascii="Arial" w:hAnsi="Arial" w:cs="Arial"/>
          <w:sz w:val="26"/>
          <w:szCs w:val="26"/>
        </w:rPr>
        <w:t xml:space="preserve">to </w:t>
      </w:r>
      <w:r w:rsidR="003B4E99">
        <w:rPr>
          <w:rFonts w:ascii="Arial" w:hAnsi="Arial" w:cs="Arial"/>
          <w:sz w:val="26"/>
          <w:szCs w:val="26"/>
        </w:rPr>
        <w:t xml:space="preserve">this meeting shows, </w:t>
      </w:r>
      <w:r w:rsidR="000C3BA3">
        <w:rPr>
          <w:rFonts w:ascii="Arial" w:hAnsi="Arial" w:cs="Arial"/>
          <w:sz w:val="26"/>
          <w:szCs w:val="26"/>
        </w:rPr>
        <w:t xml:space="preserve">this </w:t>
      </w:r>
      <w:r>
        <w:rPr>
          <w:rFonts w:ascii="Arial" w:hAnsi="Arial" w:cs="Arial"/>
          <w:sz w:val="26"/>
          <w:szCs w:val="26"/>
        </w:rPr>
        <w:t>issue has resolved itself</w:t>
      </w:r>
      <w:r w:rsidR="000C3BA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361A43">
        <w:rPr>
          <w:rFonts w:ascii="Arial" w:hAnsi="Arial" w:cs="Arial"/>
          <w:sz w:val="26"/>
          <w:szCs w:val="26"/>
        </w:rPr>
        <w:t xml:space="preserve">at least for 2019-20, </w:t>
      </w:r>
      <w:r>
        <w:rPr>
          <w:rFonts w:ascii="Arial" w:hAnsi="Arial" w:cs="Arial"/>
          <w:sz w:val="26"/>
          <w:szCs w:val="26"/>
        </w:rPr>
        <w:t>as it seems likely that Derbyshire will see an increase in growth funding</w:t>
      </w:r>
      <w:r w:rsidR="00361A43">
        <w:rPr>
          <w:rFonts w:ascii="Arial" w:hAnsi="Arial" w:cs="Arial"/>
          <w:sz w:val="26"/>
          <w:szCs w:val="26"/>
        </w:rPr>
        <w:t xml:space="preserve"> next year</w:t>
      </w:r>
      <w:r>
        <w:rPr>
          <w:rFonts w:ascii="Arial" w:hAnsi="Arial" w:cs="Arial"/>
          <w:sz w:val="26"/>
          <w:szCs w:val="26"/>
        </w:rPr>
        <w:t xml:space="preserve">. </w:t>
      </w:r>
    </w:p>
    <w:p w:rsidRPr="003B4E99" w:rsidR="00C71744" w:rsidP="00C418D4" w:rsidRDefault="00C71744">
      <w:pPr>
        <w:ind w:left="284"/>
        <w:rPr>
          <w:rFonts w:ascii="Arial" w:hAnsi="Arial" w:cs="Arial"/>
          <w:sz w:val="22"/>
          <w:szCs w:val="26"/>
        </w:rPr>
      </w:pPr>
    </w:p>
    <w:p w:rsidR="00C71744" w:rsidP="00C418D4" w:rsidRDefault="00087A3E">
      <w:pPr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Although the overall response rate was low, </w:t>
      </w:r>
      <w:r>
        <w:rPr>
          <w:rFonts w:ascii="Arial" w:hAnsi="Arial" w:cs="Arial"/>
          <w:sz w:val="26"/>
          <w:szCs w:val="26"/>
        </w:rPr>
        <w:t xml:space="preserve">perhaps indicating the technical nature of the changes, </w:t>
      </w:r>
      <w:r w:rsidRPr="001C0E24">
        <w:rPr>
          <w:rFonts w:ascii="Arial" w:hAnsi="Arial" w:cs="Arial"/>
          <w:sz w:val="26"/>
          <w:szCs w:val="26"/>
        </w:rPr>
        <w:t>the pattern of responses indicate</w:t>
      </w:r>
      <w:r>
        <w:rPr>
          <w:rFonts w:ascii="Arial" w:hAnsi="Arial" w:cs="Arial"/>
          <w:sz w:val="26"/>
          <w:szCs w:val="26"/>
        </w:rPr>
        <w:t>d</w:t>
      </w:r>
      <w:r w:rsidRPr="001C0E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good level of </w:t>
      </w:r>
      <w:r w:rsidRPr="001C0E24">
        <w:rPr>
          <w:rFonts w:ascii="Arial" w:hAnsi="Arial" w:cs="Arial"/>
          <w:sz w:val="26"/>
          <w:szCs w:val="26"/>
        </w:rPr>
        <w:t xml:space="preserve">support </w:t>
      </w:r>
      <w:r w:rsidR="00FF7B92">
        <w:rPr>
          <w:rFonts w:ascii="Arial" w:hAnsi="Arial" w:cs="Arial"/>
          <w:sz w:val="26"/>
          <w:szCs w:val="26"/>
        </w:rPr>
        <w:t xml:space="preserve">for </w:t>
      </w:r>
      <w:r>
        <w:rPr>
          <w:rFonts w:ascii="Arial" w:hAnsi="Arial" w:cs="Arial"/>
          <w:sz w:val="26"/>
          <w:szCs w:val="26"/>
        </w:rPr>
        <w:t>the Authority’s proposals</w:t>
      </w:r>
      <w:r w:rsidRPr="001C0E24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Consequently, </w:t>
      </w:r>
      <w:r w:rsidR="00C71744">
        <w:rPr>
          <w:rFonts w:ascii="Arial" w:hAnsi="Arial" w:cs="Arial"/>
          <w:sz w:val="26"/>
          <w:szCs w:val="26"/>
        </w:rPr>
        <w:t xml:space="preserve">subject to affordability when the final settlement is announced </w:t>
      </w:r>
      <w:r w:rsidR="00FF7B92">
        <w:rPr>
          <w:rFonts w:ascii="Arial" w:hAnsi="Arial" w:cs="Arial"/>
          <w:sz w:val="26"/>
          <w:szCs w:val="26"/>
        </w:rPr>
        <w:t xml:space="preserve">by the DfE </w:t>
      </w:r>
      <w:r w:rsidR="00C71744">
        <w:rPr>
          <w:rFonts w:ascii="Arial" w:hAnsi="Arial" w:cs="Arial"/>
          <w:sz w:val="26"/>
          <w:szCs w:val="26"/>
        </w:rPr>
        <w:t>in Decem</w:t>
      </w:r>
      <w:bookmarkStart w:name="_GoBack" w:id="0"/>
      <w:bookmarkEnd w:id="0"/>
      <w:r w:rsidR="00C71744">
        <w:rPr>
          <w:rFonts w:ascii="Arial" w:hAnsi="Arial" w:cs="Arial"/>
          <w:sz w:val="26"/>
          <w:szCs w:val="26"/>
        </w:rPr>
        <w:t xml:space="preserve">ber, </w:t>
      </w:r>
      <w:r>
        <w:rPr>
          <w:rFonts w:ascii="Arial" w:hAnsi="Arial" w:cs="Arial"/>
          <w:sz w:val="26"/>
          <w:szCs w:val="26"/>
        </w:rPr>
        <w:t xml:space="preserve">the Authority intends to </w:t>
      </w:r>
      <w:r w:rsidR="00C71744">
        <w:rPr>
          <w:rFonts w:ascii="Arial" w:hAnsi="Arial" w:cs="Arial"/>
          <w:sz w:val="26"/>
          <w:szCs w:val="26"/>
        </w:rPr>
        <w:t>implement the proposals outlined in the mainstream consultation document</w:t>
      </w:r>
      <w:r w:rsidR="003B4E99">
        <w:rPr>
          <w:rFonts w:ascii="Arial" w:hAnsi="Arial" w:cs="Arial"/>
          <w:sz w:val="26"/>
          <w:szCs w:val="26"/>
        </w:rPr>
        <w:t xml:space="preserve"> as far as possible</w:t>
      </w:r>
      <w:r w:rsidR="00C71744">
        <w:rPr>
          <w:rFonts w:ascii="Arial" w:hAnsi="Arial" w:cs="Arial"/>
          <w:sz w:val="26"/>
          <w:szCs w:val="26"/>
        </w:rPr>
        <w:t>.</w:t>
      </w:r>
    </w:p>
    <w:p w:rsidRPr="003B4E99" w:rsidR="00201BF7" w:rsidP="00C418D4" w:rsidRDefault="00201BF7">
      <w:pPr>
        <w:ind w:left="284"/>
        <w:rPr>
          <w:rFonts w:ascii="Arial" w:hAnsi="Arial" w:cs="Arial"/>
          <w:sz w:val="22"/>
          <w:szCs w:val="26"/>
        </w:rPr>
      </w:pPr>
    </w:p>
    <w:p w:rsidRPr="001C0E24" w:rsidR="004F0FCD" w:rsidP="00C418D4" w:rsidRDefault="00E97D82">
      <w:pPr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The Schools Forum </w:t>
      </w:r>
      <w:r w:rsidRPr="001C0E24" w:rsidR="003133AC">
        <w:rPr>
          <w:rFonts w:ascii="Arial" w:hAnsi="Arial" w:cs="Arial"/>
          <w:sz w:val="26"/>
          <w:szCs w:val="26"/>
        </w:rPr>
        <w:t>is asked to note the response</w:t>
      </w:r>
      <w:r w:rsidR="00C71744">
        <w:rPr>
          <w:rFonts w:ascii="Arial" w:hAnsi="Arial" w:cs="Arial"/>
          <w:sz w:val="26"/>
          <w:szCs w:val="26"/>
        </w:rPr>
        <w:t>s</w:t>
      </w:r>
      <w:r w:rsidRPr="001C0E24" w:rsidR="003133AC">
        <w:rPr>
          <w:rFonts w:ascii="Arial" w:hAnsi="Arial" w:cs="Arial"/>
          <w:sz w:val="26"/>
          <w:szCs w:val="26"/>
        </w:rPr>
        <w:t xml:space="preserve"> to the consultation and </w:t>
      </w:r>
      <w:r w:rsidR="00C71744">
        <w:rPr>
          <w:rFonts w:ascii="Arial" w:hAnsi="Arial" w:cs="Arial"/>
          <w:sz w:val="26"/>
          <w:szCs w:val="26"/>
        </w:rPr>
        <w:t xml:space="preserve">offer any views of its own on the LA’s proposals for 2019-20. </w:t>
      </w:r>
    </w:p>
    <w:p w:rsidRPr="003B4E99" w:rsidR="00087A3E" w:rsidP="00C418D4" w:rsidRDefault="00087A3E">
      <w:pPr>
        <w:ind w:left="284"/>
        <w:rPr>
          <w:rFonts w:ascii="Arial" w:hAnsi="Arial" w:cs="Arial"/>
          <w:sz w:val="22"/>
          <w:szCs w:val="26"/>
        </w:rPr>
      </w:pPr>
    </w:p>
    <w:p w:rsidRPr="001C0E24" w:rsidR="00F101F1" w:rsidP="00F101F1" w:rsidRDefault="00B73C3D">
      <w:pPr>
        <w:ind w:left="284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1C0E24">
        <w:rPr>
          <w:rFonts w:ascii="Arial" w:hAnsi="Arial" w:cs="Arial"/>
          <w:b/>
          <w:sz w:val="26"/>
          <w:szCs w:val="26"/>
        </w:rPr>
        <w:t>3.</w:t>
      </w:r>
      <w:r w:rsidRPr="001C0E24">
        <w:rPr>
          <w:rFonts w:ascii="Arial" w:hAnsi="Arial" w:cs="Arial"/>
          <w:b/>
          <w:sz w:val="26"/>
          <w:szCs w:val="26"/>
        </w:rPr>
        <w:tab/>
      </w:r>
      <w:r w:rsidRPr="001C0E24">
        <w:rPr>
          <w:rFonts w:ascii="Arial" w:hAnsi="Arial" w:cs="Arial"/>
          <w:b/>
          <w:sz w:val="26"/>
          <w:szCs w:val="26"/>
          <w:u w:val="single"/>
        </w:rPr>
        <w:t>Other Considerations</w:t>
      </w:r>
    </w:p>
    <w:p w:rsidRPr="003B4E99" w:rsidR="00F101F1" w:rsidP="00F101F1" w:rsidRDefault="00F101F1">
      <w:pPr>
        <w:ind w:left="284"/>
        <w:jc w:val="both"/>
        <w:rPr>
          <w:rFonts w:ascii="Arial" w:hAnsi="Arial" w:cs="Arial"/>
          <w:sz w:val="22"/>
          <w:szCs w:val="26"/>
        </w:rPr>
      </w:pPr>
    </w:p>
    <w:p w:rsidR="00B73C3D" w:rsidP="0034390E" w:rsidRDefault="00B73C3D">
      <w:pPr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In preparing this report the relevance of the following factors has been considered: prevention of crime &amp; disorder, equality of opportunity, human resources, legal &amp; </w:t>
      </w:r>
      <w:r w:rsidRPr="001C0E24">
        <w:rPr>
          <w:rFonts w:ascii="Arial" w:hAnsi="Arial" w:cs="Arial"/>
          <w:sz w:val="26"/>
          <w:szCs w:val="26"/>
        </w:rPr>
        <w:lastRenderedPageBreak/>
        <w:t xml:space="preserve">human rights, environmental, financial, </w:t>
      </w:r>
      <w:r w:rsidR="0034390E">
        <w:rPr>
          <w:rFonts w:ascii="Arial" w:hAnsi="Arial" w:cs="Arial"/>
          <w:sz w:val="26"/>
          <w:szCs w:val="26"/>
        </w:rPr>
        <w:t xml:space="preserve">social value, </w:t>
      </w:r>
      <w:r w:rsidRPr="001C0E24">
        <w:rPr>
          <w:rFonts w:ascii="Arial" w:hAnsi="Arial" w:cs="Arial"/>
          <w:sz w:val="26"/>
          <w:szCs w:val="26"/>
        </w:rPr>
        <w:t>health, property and transport considerations.</w:t>
      </w:r>
    </w:p>
    <w:p w:rsidRPr="001C0E24" w:rsidR="00FF7B92" w:rsidP="0034390E" w:rsidRDefault="00FF7B92">
      <w:pPr>
        <w:ind w:left="284"/>
        <w:rPr>
          <w:rFonts w:ascii="Arial" w:hAnsi="Arial" w:cs="Arial"/>
          <w:sz w:val="26"/>
          <w:szCs w:val="26"/>
        </w:rPr>
      </w:pPr>
    </w:p>
    <w:p w:rsidRPr="001C0E24" w:rsidR="00F101F1" w:rsidP="00F101F1" w:rsidRDefault="00B73C3D">
      <w:pPr>
        <w:ind w:left="284"/>
        <w:rPr>
          <w:rFonts w:ascii="Arial" w:hAnsi="Arial" w:cs="Arial"/>
          <w:b/>
          <w:sz w:val="26"/>
          <w:szCs w:val="26"/>
          <w:u w:val="single"/>
        </w:rPr>
      </w:pPr>
      <w:r w:rsidRPr="001C0E24">
        <w:rPr>
          <w:rFonts w:ascii="Arial" w:hAnsi="Arial" w:cs="Arial"/>
          <w:b/>
          <w:sz w:val="26"/>
          <w:szCs w:val="26"/>
        </w:rPr>
        <w:t>4.</w:t>
      </w:r>
      <w:r w:rsidRPr="001C0E24">
        <w:rPr>
          <w:rFonts w:ascii="Arial" w:hAnsi="Arial" w:cs="Arial"/>
          <w:b/>
          <w:sz w:val="26"/>
          <w:szCs w:val="26"/>
        </w:rPr>
        <w:tab/>
      </w:r>
      <w:r w:rsidRPr="001C0E24">
        <w:rPr>
          <w:rFonts w:ascii="Arial" w:hAnsi="Arial" w:cs="Arial"/>
          <w:b/>
          <w:sz w:val="26"/>
          <w:szCs w:val="26"/>
          <w:u w:val="single"/>
        </w:rPr>
        <w:t>Background Papers</w:t>
      </w:r>
    </w:p>
    <w:p w:rsidRPr="003B4E99" w:rsidR="00F101F1" w:rsidP="00F101F1" w:rsidRDefault="00F101F1">
      <w:pPr>
        <w:ind w:left="284"/>
        <w:rPr>
          <w:rFonts w:ascii="Arial" w:hAnsi="Arial" w:cs="Arial"/>
          <w:b/>
          <w:sz w:val="22"/>
          <w:szCs w:val="26"/>
        </w:rPr>
      </w:pPr>
    </w:p>
    <w:p w:rsidRPr="001C0E24" w:rsidR="00B73C3D" w:rsidP="00F101F1" w:rsidRDefault="00F101F1">
      <w:pPr>
        <w:ind w:left="284"/>
        <w:rPr>
          <w:rFonts w:ascii="Arial" w:hAnsi="Arial" w:cs="Arial"/>
          <w:b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>Papers held in C</w:t>
      </w:r>
      <w:r w:rsidRPr="001C0E24" w:rsidR="00040848">
        <w:rPr>
          <w:rFonts w:ascii="Arial" w:hAnsi="Arial" w:cs="Arial"/>
          <w:sz w:val="26"/>
          <w:szCs w:val="26"/>
        </w:rPr>
        <w:t xml:space="preserve">hildren’s Services </w:t>
      </w:r>
      <w:r w:rsidRPr="001C0E24">
        <w:rPr>
          <w:rFonts w:ascii="Arial" w:hAnsi="Arial" w:cs="Arial"/>
          <w:sz w:val="26"/>
          <w:szCs w:val="26"/>
        </w:rPr>
        <w:t>Finance</w:t>
      </w:r>
      <w:r w:rsidRPr="001C0E24" w:rsidR="00A042FC">
        <w:rPr>
          <w:rFonts w:ascii="Arial" w:hAnsi="Arial" w:cs="Arial"/>
          <w:sz w:val="26"/>
          <w:szCs w:val="26"/>
        </w:rPr>
        <w:t>.</w:t>
      </w:r>
    </w:p>
    <w:p w:rsidR="00B73C3D" w:rsidP="00F101F1" w:rsidRDefault="00B73C3D">
      <w:pPr>
        <w:ind w:left="284"/>
        <w:rPr>
          <w:rFonts w:ascii="Arial" w:hAnsi="Arial" w:cs="Arial"/>
          <w:sz w:val="22"/>
          <w:szCs w:val="26"/>
        </w:rPr>
      </w:pPr>
    </w:p>
    <w:p w:rsidRPr="001C0E24" w:rsidR="00B73C3D" w:rsidP="00F101F1" w:rsidRDefault="00B73C3D">
      <w:pPr>
        <w:ind w:left="284"/>
        <w:rPr>
          <w:rFonts w:ascii="Arial" w:hAnsi="Arial" w:cs="Arial"/>
          <w:b/>
          <w:sz w:val="26"/>
          <w:szCs w:val="26"/>
        </w:rPr>
      </w:pPr>
      <w:r w:rsidRPr="001C0E24">
        <w:rPr>
          <w:rFonts w:ascii="Arial" w:hAnsi="Arial" w:cs="Arial"/>
          <w:b/>
          <w:sz w:val="26"/>
          <w:szCs w:val="26"/>
        </w:rPr>
        <w:t>5.</w:t>
      </w:r>
      <w:r w:rsidRPr="001C0E24">
        <w:rPr>
          <w:rFonts w:ascii="Arial" w:hAnsi="Arial" w:cs="Arial"/>
          <w:b/>
          <w:sz w:val="26"/>
          <w:szCs w:val="26"/>
        </w:rPr>
        <w:tab/>
      </w:r>
      <w:r w:rsidRPr="001C0E24">
        <w:rPr>
          <w:rFonts w:ascii="Arial" w:hAnsi="Arial" w:cs="Arial"/>
          <w:b/>
          <w:sz w:val="26"/>
          <w:szCs w:val="26"/>
          <w:u w:val="single"/>
        </w:rPr>
        <w:t>Officer’s Recommendations</w:t>
      </w:r>
      <w:r w:rsidRPr="001C0E24">
        <w:rPr>
          <w:rFonts w:ascii="Arial" w:hAnsi="Arial" w:cs="Arial"/>
          <w:b/>
          <w:sz w:val="26"/>
          <w:szCs w:val="26"/>
        </w:rPr>
        <w:t xml:space="preserve"> </w:t>
      </w:r>
    </w:p>
    <w:p w:rsidRPr="003B4E99" w:rsidR="00B73C3D" w:rsidP="00F101F1" w:rsidRDefault="00B73C3D">
      <w:pPr>
        <w:pStyle w:val="ListParagraph"/>
        <w:ind w:left="284"/>
        <w:rPr>
          <w:rFonts w:ascii="Arial" w:hAnsi="Arial" w:cs="Arial"/>
          <w:sz w:val="22"/>
          <w:szCs w:val="26"/>
        </w:rPr>
      </w:pPr>
    </w:p>
    <w:p w:rsidR="00C71744" w:rsidP="00F101F1" w:rsidRDefault="00B73C3D">
      <w:pPr>
        <w:ind w:left="284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sz w:val="26"/>
          <w:szCs w:val="26"/>
        </w:rPr>
        <w:t xml:space="preserve">The Forum is asked to </w:t>
      </w:r>
    </w:p>
    <w:p w:rsidRPr="003B4E99" w:rsidR="00C71744" w:rsidP="00F101F1" w:rsidRDefault="00C71744">
      <w:pPr>
        <w:ind w:left="284"/>
        <w:rPr>
          <w:rFonts w:ascii="Arial" w:hAnsi="Arial" w:cs="Arial"/>
          <w:sz w:val="22"/>
          <w:szCs w:val="26"/>
        </w:rPr>
      </w:pPr>
    </w:p>
    <w:p w:rsidR="00C71744" w:rsidP="00C71744" w:rsidRDefault="00E97D82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C71744">
        <w:rPr>
          <w:rFonts w:ascii="Arial" w:hAnsi="Arial" w:cs="Arial"/>
          <w:sz w:val="26"/>
          <w:szCs w:val="26"/>
        </w:rPr>
        <w:t xml:space="preserve">note the responses to the </w:t>
      </w:r>
      <w:r w:rsidRPr="00C71744" w:rsidR="009E7DD9">
        <w:rPr>
          <w:rFonts w:ascii="Arial" w:hAnsi="Arial" w:cs="Arial"/>
          <w:sz w:val="26"/>
          <w:szCs w:val="26"/>
        </w:rPr>
        <w:t xml:space="preserve">mainstream </w:t>
      </w:r>
      <w:r w:rsidRPr="00C71744">
        <w:rPr>
          <w:rFonts w:ascii="Arial" w:hAnsi="Arial" w:cs="Arial"/>
          <w:sz w:val="26"/>
          <w:szCs w:val="26"/>
        </w:rPr>
        <w:t>consultation</w:t>
      </w:r>
      <w:r w:rsidR="00C71744">
        <w:rPr>
          <w:rFonts w:ascii="Arial" w:hAnsi="Arial" w:cs="Arial"/>
          <w:sz w:val="26"/>
          <w:szCs w:val="26"/>
        </w:rPr>
        <w:t>;</w:t>
      </w:r>
      <w:r w:rsidRPr="00C71744">
        <w:rPr>
          <w:rFonts w:ascii="Arial" w:hAnsi="Arial" w:cs="Arial"/>
          <w:sz w:val="26"/>
          <w:szCs w:val="26"/>
        </w:rPr>
        <w:t xml:space="preserve"> and </w:t>
      </w:r>
    </w:p>
    <w:p w:rsidRPr="00C71744" w:rsidR="00B73C3D" w:rsidP="00C71744" w:rsidRDefault="00C71744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offer any views of its own on the </w:t>
      </w:r>
      <w:r w:rsidR="00EE121A">
        <w:rPr>
          <w:rFonts w:ascii="Arial" w:hAnsi="Arial" w:cs="Arial"/>
          <w:sz w:val="26"/>
          <w:szCs w:val="26"/>
        </w:rPr>
        <w:t xml:space="preserve">Authority’s </w:t>
      </w:r>
      <w:r>
        <w:rPr>
          <w:rFonts w:ascii="Arial" w:hAnsi="Arial" w:cs="Arial"/>
          <w:sz w:val="26"/>
          <w:szCs w:val="26"/>
        </w:rPr>
        <w:t>proposals set out in the consultation document</w:t>
      </w:r>
      <w:r w:rsidRPr="00C71744" w:rsidR="00B73C3D">
        <w:rPr>
          <w:rFonts w:ascii="Arial" w:hAnsi="Arial" w:cs="Arial"/>
          <w:sz w:val="26"/>
          <w:szCs w:val="26"/>
        </w:rPr>
        <w:t>.</w:t>
      </w:r>
    </w:p>
    <w:p w:rsidRPr="001C0E24" w:rsidR="00B73C3D" w:rsidP="00B73C3D" w:rsidRDefault="00B73C3D">
      <w:pPr>
        <w:ind w:left="709"/>
        <w:rPr>
          <w:rFonts w:ascii="Arial" w:hAnsi="Arial" w:cs="Arial"/>
          <w:sz w:val="26"/>
          <w:szCs w:val="26"/>
        </w:rPr>
      </w:pPr>
    </w:p>
    <w:p w:rsidRPr="001C0E24" w:rsidR="00B73C3D" w:rsidP="00B73C3D" w:rsidRDefault="00980038">
      <w:pPr>
        <w:ind w:left="709"/>
        <w:jc w:val="center"/>
        <w:rPr>
          <w:rFonts w:ascii="Arial" w:hAnsi="Arial" w:cs="Arial"/>
          <w:b/>
          <w:sz w:val="26"/>
          <w:szCs w:val="26"/>
        </w:rPr>
      </w:pPr>
      <w:r w:rsidRPr="001C0E24">
        <w:rPr>
          <w:rFonts w:ascii="Arial" w:hAnsi="Arial" w:cs="Arial"/>
          <w:b/>
          <w:sz w:val="26"/>
          <w:szCs w:val="26"/>
        </w:rPr>
        <w:t>JANE PARFREMENT</w:t>
      </w:r>
    </w:p>
    <w:p w:rsidRPr="001C0E24" w:rsidR="00A26081" w:rsidP="003B4E99" w:rsidRDefault="00B73C3D">
      <w:pPr>
        <w:ind w:left="709"/>
        <w:jc w:val="center"/>
        <w:rPr>
          <w:rFonts w:ascii="Arial" w:hAnsi="Arial" w:cs="Arial"/>
          <w:sz w:val="26"/>
          <w:szCs w:val="26"/>
        </w:rPr>
      </w:pPr>
      <w:r w:rsidRPr="001C0E24">
        <w:rPr>
          <w:rFonts w:ascii="Arial" w:hAnsi="Arial" w:cs="Arial"/>
          <w:b/>
          <w:sz w:val="26"/>
          <w:szCs w:val="26"/>
        </w:rPr>
        <w:t>Strategic Director for Children</w:t>
      </w:r>
      <w:r w:rsidRPr="001C0E24" w:rsidR="00E352A1">
        <w:rPr>
          <w:rFonts w:ascii="Arial" w:hAnsi="Arial" w:cs="Arial"/>
          <w:b/>
          <w:sz w:val="26"/>
          <w:szCs w:val="26"/>
        </w:rPr>
        <w:t>’s Services</w:t>
      </w:r>
    </w:p>
    <w:sectPr w:rsidRPr="001C0E24" w:rsidR="00A26081" w:rsidSect="00361A43">
      <w:pgSz w:w="11906" w:h="16838"/>
      <w:pgMar w:top="426" w:right="707" w:bottom="1134" w:left="85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38" w:rsidRDefault="00980038" w:rsidP="00085F2B">
      <w:r>
        <w:separator/>
      </w:r>
    </w:p>
  </w:endnote>
  <w:endnote w:type="continuationSeparator" w:id="0">
    <w:p w:rsidR="00980038" w:rsidRDefault="00980038" w:rsidP="000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38" w:rsidRDefault="00980038" w:rsidP="00085F2B">
      <w:r>
        <w:separator/>
      </w:r>
    </w:p>
  </w:footnote>
  <w:footnote w:type="continuationSeparator" w:id="0">
    <w:p w:rsidR="00980038" w:rsidRDefault="00980038" w:rsidP="0008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B22"/>
    <w:multiLevelType w:val="hybridMultilevel"/>
    <w:tmpl w:val="E9309EF6"/>
    <w:lvl w:ilvl="0" w:tplc="D4F41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24F"/>
    <w:multiLevelType w:val="hybridMultilevel"/>
    <w:tmpl w:val="0CEE40DC"/>
    <w:lvl w:ilvl="0" w:tplc="2A927F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3EDD"/>
    <w:multiLevelType w:val="hybridMultilevel"/>
    <w:tmpl w:val="D7F0A93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D3412"/>
    <w:multiLevelType w:val="hybridMultilevel"/>
    <w:tmpl w:val="81B8D2EC"/>
    <w:lvl w:ilvl="0" w:tplc="76ECB51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D6E78"/>
    <w:multiLevelType w:val="hybridMultilevel"/>
    <w:tmpl w:val="93E656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15304F"/>
    <w:multiLevelType w:val="hybridMultilevel"/>
    <w:tmpl w:val="E452A1BC"/>
    <w:lvl w:ilvl="0" w:tplc="74E01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572B"/>
    <w:multiLevelType w:val="hybridMultilevel"/>
    <w:tmpl w:val="93C0D12C"/>
    <w:lvl w:ilvl="0" w:tplc="ED2428B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A533B"/>
    <w:multiLevelType w:val="hybridMultilevel"/>
    <w:tmpl w:val="9050D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043D"/>
    <w:multiLevelType w:val="hybridMultilevel"/>
    <w:tmpl w:val="C1F4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7D9"/>
    <w:multiLevelType w:val="hybridMultilevel"/>
    <w:tmpl w:val="42C60610"/>
    <w:lvl w:ilvl="0" w:tplc="2768411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C1349F"/>
    <w:multiLevelType w:val="hybridMultilevel"/>
    <w:tmpl w:val="FE328D74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70C"/>
    <w:multiLevelType w:val="hybridMultilevel"/>
    <w:tmpl w:val="18E681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CE563C"/>
    <w:multiLevelType w:val="hybridMultilevel"/>
    <w:tmpl w:val="1EAC24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EC0362"/>
    <w:multiLevelType w:val="hybridMultilevel"/>
    <w:tmpl w:val="FAAC2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6285"/>
    <w:multiLevelType w:val="hybridMultilevel"/>
    <w:tmpl w:val="B20CF4F8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6E8B"/>
    <w:multiLevelType w:val="hybridMultilevel"/>
    <w:tmpl w:val="508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44687"/>
    <w:multiLevelType w:val="hybridMultilevel"/>
    <w:tmpl w:val="CAEC6C0E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B13C8"/>
    <w:multiLevelType w:val="hybridMultilevel"/>
    <w:tmpl w:val="04101ED2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624C"/>
    <w:multiLevelType w:val="hybridMultilevel"/>
    <w:tmpl w:val="F49CD0BA"/>
    <w:lvl w:ilvl="0" w:tplc="EE1E762C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9591F"/>
    <w:multiLevelType w:val="hybridMultilevel"/>
    <w:tmpl w:val="1BF60118"/>
    <w:lvl w:ilvl="0" w:tplc="DAA0AC0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3CB6B3B"/>
    <w:multiLevelType w:val="hybridMultilevel"/>
    <w:tmpl w:val="16E475AA"/>
    <w:lvl w:ilvl="0" w:tplc="3FC857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322BC"/>
    <w:multiLevelType w:val="hybridMultilevel"/>
    <w:tmpl w:val="84DA41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131593"/>
    <w:multiLevelType w:val="hybridMultilevel"/>
    <w:tmpl w:val="D72685EC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5D3B"/>
    <w:multiLevelType w:val="hybridMultilevel"/>
    <w:tmpl w:val="B20CF4F8"/>
    <w:lvl w:ilvl="0" w:tplc="4630F3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0693"/>
    <w:multiLevelType w:val="hybridMultilevel"/>
    <w:tmpl w:val="BD2CE0D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5"/>
  </w:num>
  <w:num w:numId="6">
    <w:abstractNumId w:val="3"/>
  </w:num>
  <w:num w:numId="7">
    <w:abstractNumId w:val="13"/>
  </w:num>
  <w:num w:numId="8">
    <w:abstractNumId w:val="0"/>
  </w:num>
  <w:num w:numId="9">
    <w:abstractNumId w:val="19"/>
  </w:num>
  <w:num w:numId="10">
    <w:abstractNumId w:val="1"/>
  </w:num>
  <w:num w:numId="11">
    <w:abstractNumId w:val="21"/>
  </w:num>
  <w:num w:numId="12">
    <w:abstractNumId w:val="11"/>
  </w:num>
  <w:num w:numId="13">
    <w:abstractNumId w:val="24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2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2"/>
    <w:rsid w:val="0000788A"/>
    <w:rsid w:val="00040848"/>
    <w:rsid w:val="00042CFF"/>
    <w:rsid w:val="000763E9"/>
    <w:rsid w:val="00085F2B"/>
    <w:rsid w:val="00087A3E"/>
    <w:rsid w:val="00094C52"/>
    <w:rsid w:val="000C3BA3"/>
    <w:rsid w:val="000D013F"/>
    <w:rsid w:val="000F7717"/>
    <w:rsid w:val="001619DF"/>
    <w:rsid w:val="001923CE"/>
    <w:rsid w:val="001944A8"/>
    <w:rsid w:val="001C0E24"/>
    <w:rsid w:val="001C322D"/>
    <w:rsid w:val="001C58AE"/>
    <w:rsid w:val="001E457D"/>
    <w:rsid w:val="00201BF7"/>
    <w:rsid w:val="002060FF"/>
    <w:rsid w:val="00275755"/>
    <w:rsid w:val="0027773E"/>
    <w:rsid w:val="00283ABE"/>
    <w:rsid w:val="002B0591"/>
    <w:rsid w:val="002B20E0"/>
    <w:rsid w:val="003133AC"/>
    <w:rsid w:val="0032535D"/>
    <w:rsid w:val="00327A5A"/>
    <w:rsid w:val="0034390E"/>
    <w:rsid w:val="00361A43"/>
    <w:rsid w:val="003939F0"/>
    <w:rsid w:val="003948E4"/>
    <w:rsid w:val="003A0711"/>
    <w:rsid w:val="003B4E99"/>
    <w:rsid w:val="003E7304"/>
    <w:rsid w:val="004047D7"/>
    <w:rsid w:val="00416893"/>
    <w:rsid w:val="004172A6"/>
    <w:rsid w:val="00420F7B"/>
    <w:rsid w:val="0042515F"/>
    <w:rsid w:val="0046333B"/>
    <w:rsid w:val="004D046C"/>
    <w:rsid w:val="004D6144"/>
    <w:rsid w:val="004F0FCD"/>
    <w:rsid w:val="00535D5C"/>
    <w:rsid w:val="005673FA"/>
    <w:rsid w:val="00576048"/>
    <w:rsid w:val="00584431"/>
    <w:rsid w:val="0059427F"/>
    <w:rsid w:val="005A46AC"/>
    <w:rsid w:val="005D13C3"/>
    <w:rsid w:val="0060029C"/>
    <w:rsid w:val="0060777E"/>
    <w:rsid w:val="006231E2"/>
    <w:rsid w:val="00632508"/>
    <w:rsid w:val="00650481"/>
    <w:rsid w:val="00672CD1"/>
    <w:rsid w:val="006A7B39"/>
    <w:rsid w:val="006D17CF"/>
    <w:rsid w:val="006D7EFE"/>
    <w:rsid w:val="007024CC"/>
    <w:rsid w:val="0074017A"/>
    <w:rsid w:val="0077677C"/>
    <w:rsid w:val="00783DC8"/>
    <w:rsid w:val="007F2092"/>
    <w:rsid w:val="007F2DCB"/>
    <w:rsid w:val="00801195"/>
    <w:rsid w:val="00807774"/>
    <w:rsid w:val="00851A64"/>
    <w:rsid w:val="00875D5F"/>
    <w:rsid w:val="00886EAA"/>
    <w:rsid w:val="00894784"/>
    <w:rsid w:val="008B3502"/>
    <w:rsid w:val="008D7308"/>
    <w:rsid w:val="00924D7E"/>
    <w:rsid w:val="00955746"/>
    <w:rsid w:val="00980038"/>
    <w:rsid w:val="009A5DB4"/>
    <w:rsid w:val="009B2196"/>
    <w:rsid w:val="009C39A0"/>
    <w:rsid w:val="009D2AE9"/>
    <w:rsid w:val="009E7DD9"/>
    <w:rsid w:val="009F3171"/>
    <w:rsid w:val="00A042FC"/>
    <w:rsid w:val="00A230D3"/>
    <w:rsid w:val="00A26081"/>
    <w:rsid w:val="00A26370"/>
    <w:rsid w:val="00A674A2"/>
    <w:rsid w:val="00AA583F"/>
    <w:rsid w:val="00B61D60"/>
    <w:rsid w:val="00B73C3D"/>
    <w:rsid w:val="00B80CEA"/>
    <w:rsid w:val="00C418D4"/>
    <w:rsid w:val="00C71744"/>
    <w:rsid w:val="00C71EAC"/>
    <w:rsid w:val="00C800AB"/>
    <w:rsid w:val="00C93686"/>
    <w:rsid w:val="00CA2CAF"/>
    <w:rsid w:val="00D31B35"/>
    <w:rsid w:val="00D514B4"/>
    <w:rsid w:val="00D85946"/>
    <w:rsid w:val="00E02AD1"/>
    <w:rsid w:val="00E10E5A"/>
    <w:rsid w:val="00E352A1"/>
    <w:rsid w:val="00E97D82"/>
    <w:rsid w:val="00EA0D3D"/>
    <w:rsid w:val="00ED4F0B"/>
    <w:rsid w:val="00EE121A"/>
    <w:rsid w:val="00EE47A7"/>
    <w:rsid w:val="00EE7C0C"/>
    <w:rsid w:val="00F101F1"/>
    <w:rsid w:val="00F2188F"/>
    <w:rsid w:val="00F26ED0"/>
    <w:rsid w:val="00F46D64"/>
    <w:rsid w:val="00F51786"/>
    <w:rsid w:val="00F56B73"/>
    <w:rsid w:val="00FC4B73"/>
    <w:rsid w:val="00FD012F"/>
    <w:rsid w:val="00FD2FC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3514D88-BA8D-4E0C-95B2-4D87B900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02"/>
    <w:pPr>
      <w:spacing w:after="0" w:line="240" w:lineRule="auto"/>
    </w:pPr>
    <w:rPr>
      <w:rFonts w:ascii="Aerial" w:hAnsi="Ae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02"/>
    <w:pPr>
      <w:ind w:left="720"/>
      <w:contextualSpacing/>
    </w:pPr>
  </w:style>
  <w:style w:type="paragraph" w:customStyle="1" w:styleId="Default">
    <w:name w:val="Default"/>
    <w:rsid w:val="008B3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B3502"/>
    <w:rPr>
      <w:color w:val="0000FF"/>
      <w:u w:val="single"/>
    </w:rPr>
  </w:style>
  <w:style w:type="table" w:styleId="TableGrid">
    <w:name w:val="Table Grid"/>
    <w:basedOn w:val="TableNormal"/>
    <w:uiPriority w:val="59"/>
    <w:rsid w:val="008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2B"/>
    <w:rPr>
      <w:rFonts w:ascii="Aerial" w:hAnsi="Ae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2B"/>
    <w:rPr>
      <w:rFonts w:ascii="Aerial" w:hAnsi="Ae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CDBC-B0E2-454A-8F3F-E5E46E3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Allcock</dc:creator>
  <cp:lastModifiedBy>David Mee</cp:lastModifiedBy>
  <cp:revision>12</cp:revision>
  <cp:lastPrinted>2017-12-05T15:17:00Z</cp:lastPrinted>
  <dcterms:created xsi:type="dcterms:W3CDTF">2018-10-30T15:39:00Z</dcterms:created>
  <dcterms:modified xsi:type="dcterms:W3CDTF">2018-11-16T15:50:03Z</dcterms:modified>
  <dc:title>School Funding - responses to the LA's Mainstream Consultation</dc:title>
  <cp:keywords>
  </cp:keywords>
  <dc:subject>
  </dc:subject>
</cp:coreProperties>
</file>