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2EE8" w:rsidR="00B73C3D" w:rsidP="0002634B" w:rsidRDefault="00980E3B">
      <w:pPr>
        <w:ind w:left="709"/>
        <w:jc w:val="center"/>
        <w:rPr>
          <w:rFonts w:ascii="Arial" w:hAnsi="Arial" w:cs="Arial"/>
          <w:b/>
          <w:sz w:val="26"/>
          <w:szCs w:val="26"/>
          <w:u w:val="single"/>
        </w:rPr>
      </w:pPr>
      <w:r w:rsidRPr="006D2EE8">
        <w:rPr>
          <w:rFonts w:ascii="Arial" w:hAnsi="Arial" w:cs="Arial"/>
          <w:b/>
          <w:noProof/>
          <w:szCs w:val="24"/>
          <w:u w:val="single"/>
          <w:lang w:eastAsia="en-GB"/>
        </w:rPr>
        <mc:AlternateContent>
          <mc:Choice Requires="wps">
            <w:drawing>
              <wp:anchor distT="0" distB="0" distL="114300" distR="114300" simplePos="0" relativeHeight="251663360" behindDoc="0" locked="0" layoutInCell="1" allowOverlap="1" wp14:editId="6C022BED" wp14:anchorId="3D972F66">
                <wp:simplePos x="0" y="0"/>
                <wp:positionH relativeFrom="column">
                  <wp:posOffset>5052060</wp:posOffset>
                </wp:positionH>
                <wp:positionV relativeFrom="paragraph">
                  <wp:posOffset>-18415</wp:posOffset>
                </wp:positionV>
                <wp:extent cx="136080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3985"/>
                        </a:xfrm>
                        <a:prstGeom prst="rect">
                          <a:avLst/>
                        </a:prstGeom>
                        <a:noFill/>
                        <a:ln w="9525">
                          <a:noFill/>
                          <a:miter lim="800000"/>
                          <a:headEnd/>
                          <a:tailEnd/>
                        </a:ln>
                      </wps:spPr>
                      <wps:txbx>
                        <w:txbxContent>
                          <w:p w:rsidRPr="0000788A" w:rsidR="00A87639" w:rsidP="00FC24B3" w:rsidRDefault="00A87639">
                            <w:pPr>
                              <w:rPr>
                                <w:rFonts w:ascii="Arial" w:hAnsi="Arial" w:cs="Arial"/>
                                <w:szCs w:val="24"/>
                              </w:rPr>
                            </w:pPr>
                            <w:r>
                              <w:rPr>
                                <w:rFonts w:ascii="Arial" w:hAnsi="Arial" w:cs="Arial"/>
                                <w:szCs w:val="24"/>
                              </w:rPr>
                              <w:t>Agenda item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72F66">
                <v:stroke joinstyle="miter"/>
                <v:path gradientshapeok="t" o:connecttype="rect"/>
              </v:shapetype>
              <v:shape id="Text Box 1" style="position:absolute;left:0;text-align:left;margin-left:397.8pt;margin-top:-1.45pt;width:107.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">
                <v:textbox style="mso-fit-shape-to-text:t">
                  <w:txbxContent>
                    <w:p w:rsidRPr="0000788A" w:rsidR="00A87639" w:rsidP="00FC24B3" w:rsidRDefault="00A87639">
                      <w:pPr>
                        <w:rPr>
                          <w:rFonts w:ascii="Arial" w:hAnsi="Arial" w:cs="Arial"/>
                          <w:szCs w:val="24"/>
                        </w:rPr>
                      </w:pPr>
                      <w:r>
                        <w:rPr>
                          <w:rFonts w:ascii="Arial" w:hAnsi="Arial" w:cs="Arial"/>
                          <w:szCs w:val="24"/>
                        </w:rPr>
                        <w:t>Agenda item 5</w:t>
                      </w:r>
                    </w:p>
                  </w:txbxContent>
                </v:textbox>
              </v:shape>
            </w:pict>
          </mc:Fallback>
        </mc:AlternateContent>
      </w:r>
      <w:r w:rsidRPr="006D2EE8" w:rsidR="00E024A0">
        <w:rPr>
          <w:rFonts w:ascii="Arial" w:hAnsi="Arial" w:cs="Arial"/>
          <w:b/>
          <w:noProof/>
          <w:szCs w:val="24"/>
          <w:u w:val="single"/>
          <w:lang w:eastAsia="en-GB"/>
        </w:rPr>
        <mc:AlternateContent>
          <mc:Choice Requires="wps">
            <w:drawing>
              <wp:anchor distT="0" distB="0" distL="114300" distR="114300" simplePos="0" relativeHeight="251661312" behindDoc="0" locked="0" layoutInCell="1" allowOverlap="1" wp14:editId="2761DB8B" wp14:anchorId="27815335">
                <wp:simplePos x="0" y="0"/>
                <wp:positionH relativeFrom="column">
                  <wp:posOffset>431165</wp:posOffset>
                </wp:positionH>
                <wp:positionV relativeFrom="paragraph">
                  <wp:posOffset>-24130</wp:posOffset>
                </wp:positionV>
                <wp:extent cx="11906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Pr="0000788A" w:rsidR="00A87639" w:rsidP="0000788A" w:rsidRDefault="00A87639">
                            <w:pPr>
                              <w:rPr>
                                <w:rFonts w:ascii="Arial" w:hAnsi="Arial" w:cs="Arial"/>
                                <w:szCs w:val="24"/>
                              </w:rPr>
                            </w:pPr>
                            <w:r>
                              <w:rPr>
                                <w:rFonts w:ascii="Arial" w:hAnsi="Arial" w:cs="Arial"/>
                                <w:szCs w:val="24"/>
                              </w:rPr>
                              <w:t>Rep 756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33.95pt;margin-top:-1.9pt;width:9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" w14:anchorId="27815335">
                <v:textbox style="mso-fit-shape-to-text:t">
                  <w:txbxContent>
                    <w:p w:rsidRPr="0000788A" w:rsidR="00A87639" w:rsidP="0000788A" w:rsidRDefault="00A87639">
                      <w:pPr>
                        <w:rPr>
                          <w:rFonts w:ascii="Arial" w:hAnsi="Arial" w:cs="Arial"/>
                          <w:szCs w:val="24"/>
                        </w:rPr>
                      </w:pPr>
                      <w:r>
                        <w:rPr>
                          <w:rFonts w:ascii="Arial" w:hAnsi="Arial" w:cs="Arial"/>
                          <w:szCs w:val="24"/>
                        </w:rPr>
                        <w:t>Rep 756</w:t>
                      </w:r>
                    </w:p>
                  </w:txbxContent>
                </v:textbox>
              </v:shape>
            </w:pict>
          </mc:Fallback>
        </mc:AlternateContent>
      </w:r>
      <w:r w:rsidRPr="006D2EE8" w:rsidR="00B73C3D">
        <w:rPr>
          <w:rFonts w:ascii="Arial" w:hAnsi="Arial" w:cs="Arial"/>
          <w:b/>
          <w:sz w:val="26"/>
          <w:szCs w:val="26"/>
          <w:u w:val="single"/>
        </w:rPr>
        <w:t>DERBYSHIRE COUNTY COUNCIL</w:t>
      </w:r>
    </w:p>
    <w:p w:rsidRPr="00A675D8" w:rsidR="00B73C3D" w:rsidP="00B73C3D" w:rsidRDefault="00B73C3D">
      <w:pPr>
        <w:ind w:left="709"/>
        <w:jc w:val="center"/>
        <w:rPr>
          <w:rFonts w:ascii="Arial" w:hAnsi="Arial" w:cs="Arial"/>
          <w:b/>
          <w:sz w:val="16"/>
          <w:szCs w:val="26"/>
          <w:u w:val="single"/>
        </w:rPr>
      </w:pPr>
    </w:p>
    <w:p w:rsidRPr="006D2EE8" w:rsidR="00B73C3D" w:rsidP="00B73C3D" w:rsidRDefault="000737F8">
      <w:pPr>
        <w:ind w:left="709"/>
        <w:jc w:val="center"/>
        <w:rPr>
          <w:rFonts w:ascii="Arial" w:hAnsi="Arial" w:cs="Arial"/>
          <w:sz w:val="26"/>
          <w:szCs w:val="26"/>
        </w:rPr>
      </w:pPr>
      <w:r w:rsidRPr="006D2EE8">
        <w:rPr>
          <w:rFonts w:ascii="Arial" w:hAnsi="Arial" w:cs="Arial"/>
          <w:b/>
          <w:sz w:val="26"/>
          <w:szCs w:val="26"/>
          <w:u w:val="single"/>
        </w:rPr>
        <w:t>SCHOOLS FORUM</w:t>
      </w:r>
    </w:p>
    <w:p w:rsidRPr="00A675D8" w:rsidR="00B73C3D" w:rsidP="00B73C3D" w:rsidRDefault="00B73C3D">
      <w:pPr>
        <w:ind w:left="709"/>
        <w:jc w:val="center"/>
        <w:rPr>
          <w:rFonts w:ascii="Arial" w:hAnsi="Arial" w:cs="Arial"/>
          <w:b/>
          <w:sz w:val="16"/>
          <w:szCs w:val="26"/>
          <w:u w:val="single"/>
        </w:rPr>
      </w:pPr>
    </w:p>
    <w:p w:rsidRPr="006D2EE8" w:rsidR="00B73C3D" w:rsidP="00B73C3D" w:rsidRDefault="000B7054">
      <w:pPr>
        <w:ind w:left="709"/>
        <w:jc w:val="center"/>
        <w:rPr>
          <w:rFonts w:ascii="Arial" w:hAnsi="Arial" w:cs="Arial"/>
          <w:b/>
          <w:sz w:val="26"/>
          <w:szCs w:val="26"/>
          <w:u w:val="single"/>
        </w:rPr>
      </w:pPr>
      <w:r>
        <w:rPr>
          <w:rFonts w:ascii="Arial" w:hAnsi="Arial" w:cs="Arial"/>
          <w:b/>
          <w:sz w:val="26"/>
          <w:szCs w:val="26"/>
          <w:u w:val="single"/>
        </w:rPr>
        <w:t>22</w:t>
      </w:r>
      <w:r w:rsidRPr="000B7054">
        <w:rPr>
          <w:rFonts w:ascii="Arial" w:hAnsi="Arial" w:cs="Arial"/>
          <w:b/>
          <w:sz w:val="26"/>
          <w:szCs w:val="26"/>
          <w:u w:val="single"/>
          <w:vertAlign w:val="superscript"/>
        </w:rPr>
        <w:t>nd</w:t>
      </w:r>
      <w:r>
        <w:rPr>
          <w:rFonts w:ascii="Arial" w:hAnsi="Arial" w:cs="Arial"/>
          <w:b/>
          <w:sz w:val="26"/>
          <w:szCs w:val="26"/>
          <w:u w:val="single"/>
        </w:rPr>
        <w:t xml:space="preserve"> November </w:t>
      </w:r>
      <w:r w:rsidRPr="006D2EE8" w:rsidR="00B73C3D">
        <w:rPr>
          <w:rFonts w:ascii="Arial" w:hAnsi="Arial" w:cs="Arial"/>
          <w:b/>
          <w:sz w:val="26"/>
          <w:szCs w:val="26"/>
          <w:u w:val="single"/>
        </w:rPr>
        <w:t>201</w:t>
      </w:r>
      <w:r w:rsidR="00592F3C">
        <w:rPr>
          <w:rFonts w:ascii="Arial" w:hAnsi="Arial" w:cs="Arial"/>
          <w:b/>
          <w:sz w:val="26"/>
          <w:szCs w:val="26"/>
          <w:u w:val="single"/>
        </w:rPr>
        <w:t>8</w:t>
      </w:r>
    </w:p>
    <w:p w:rsidRPr="00A675D8" w:rsidR="00FC24B3" w:rsidP="00B73C3D" w:rsidRDefault="00FC24B3">
      <w:pPr>
        <w:ind w:left="709"/>
        <w:jc w:val="center"/>
        <w:rPr>
          <w:rFonts w:ascii="Arial" w:hAnsi="Arial" w:cs="Arial"/>
          <w:b/>
          <w:sz w:val="16"/>
          <w:szCs w:val="26"/>
          <w:u w:val="single"/>
        </w:rPr>
      </w:pPr>
    </w:p>
    <w:p w:rsidRPr="006D2EE8" w:rsidR="00B73C3D" w:rsidP="00B73C3D" w:rsidRDefault="00B73C3D">
      <w:pPr>
        <w:ind w:left="709"/>
        <w:jc w:val="center"/>
        <w:rPr>
          <w:rFonts w:ascii="Arial" w:hAnsi="Arial" w:cs="Arial"/>
          <w:b/>
          <w:sz w:val="26"/>
          <w:szCs w:val="26"/>
          <w:u w:val="single"/>
        </w:rPr>
      </w:pPr>
      <w:r w:rsidRPr="006D2EE8">
        <w:rPr>
          <w:rFonts w:ascii="Arial" w:hAnsi="Arial" w:cs="Arial"/>
          <w:b/>
          <w:sz w:val="26"/>
          <w:szCs w:val="26"/>
          <w:u w:val="single"/>
        </w:rPr>
        <w:t>Report of the Strategic Director for Children</w:t>
      </w:r>
      <w:r w:rsidRPr="006D2EE8" w:rsidR="00E352A1">
        <w:rPr>
          <w:rFonts w:ascii="Arial" w:hAnsi="Arial" w:cs="Arial"/>
          <w:b/>
          <w:sz w:val="26"/>
          <w:szCs w:val="26"/>
          <w:u w:val="single"/>
        </w:rPr>
        <w:t>’s Services</w:t>
      </w:r>
    </w:p>
    <w:p w:rsidRPr="00A675D8" w:rsidR="00B73C3D" w:rsidP="00B73C3D" w:rsidRDefault="00B73C3D">
      <w:pPr>
        <w:ind w:left="709"/>
        <w:jc w:val="center"/>
        <w:rPr>
          <w:rFonts w:ascii="Arial" w:hAnsi="Arial" w:cs="Arial"/>
          <w:b/>
          <w:sz w:val="16"/>
          <w:szCs w:val="26"/>
          <w:u w:val="single"/>
        </w:rPr>
      </w:pPr>
    </w:p>
    <w:p w:rsidRPr="006D2EE8" w:rsidR="00FC24B3" w:rsidP="00B73C3D" w:rsidRDefault="0047751E">
      <w:pPr>
        <w:ind w:left="709"/>
        <w:jc w:val="center"/>
        <w:rPr>
          <w:rFonts w:ascii="Arial" w:hAnsi="Arial" w:cs="Arial"/>
          <w:b/>
          <w:sz w:val="26"/>
          <w:szCs w:val="26"/>
          <w:u w:val="single"/>
        </w:rPr>
      </w:pPr>
      <w:r>
        <w:rPr>
          <w:rFonts w:ascii="Arial" w:hAnsi="Arial" w:cs="Arial"/>
          <w:b/>
          <w:sz w:val="26"/>
          <w:szCs w:val="26"/>
          <w:u w:val="single"/>
        </w:rPr>
        <w:t>DSG – Overall Financial Assessment</w:t>
      </w:r>
    </w:p>
    <w:p w:rsidRPr="006D2EE8" w:rsidR="00B73C3D" w:rsidP="00461D77" w:rsidRDefault="00B73C3D">
      <w:pPr>
        <w:ind w:left="284"/>
        <w:rPr>
          <w:rFonts w:ascii="Arial" w:hAnsi="Arial" w:cs="Arial"/>
          <w:sz w:val="20"/>
          <w:szCs w:val="26"/>
        </w:rPr>
      </w:pPr>
    </w:p>
    <w:p w:rsidRPr="001B0BAC" w:rsidR="00B73C3D" w:rsidP="001B0BAC" w:rsidRDefault="00B73C3D">
      <w:pPr>
        <w:pStyle w:val="ListParagraph"/>
        <w:numPr>
          <w:ilvl w:val="0"/>
          <w:numId w:val="32"/>
        </w:numPr>
        <w:ind w:left="1134" w:hanging="850"/>
        <w:rPr>
          <w:rFonts w:ascii="Arial" w:hAnsi="Arial" w:cs="Arial"/>
          <w:b/>
          <w:sz w:val="26"/>
          <w:szCs w:val="26"/>
          <w:u w:val="single"/>
        </w:rPr>
      </w:pPr>
      <w:r w:rsidRPr="006D2EE8">
        <w:rPr>
          <w:rFonts w:ascii="Arial" w:hAnsi="Arial" w:cs="Arial"/>
          <w:b/>
          <w:sz w:val="26"/>
          <w:szCs w:val="26"/>
          <w:u w:val="single"/>
        </w:rPr>
        <w:t>Purpose of the Report</w:t>
      </w:r>
    </w:p>
    <w:p w:rsidRPr="006D2EE8" w:rsidR="00B73C3D" w:rsidP="00F101F1" w:rsidRDefault="00B73C3D">
      <w:pPr>
        <w:ind w:left="284"/>
        <w:rPr>
          <w:rFonts w:ascii="Arial" w:hAnsi="Arial" w:cs="Arial"/>
          <w:sz w:val="26"/>
          <w:szCs w:val="26"/>
        </w:rPr>
      </w:pPr>
    </w:p>
    <w:p w:rsidRPr="006D2EE8" w:rsidR="00B73C3D" w:rsidP="00F101F1" w:rsidRDefault="00B73C3D">
      <w:pPr>
        <w:tabs>
          <w:tab w:val="left" w:pos="1418"/>
        </w:tabs>
        <w:ind w:left="284"/>
        <w:rPr>
          <w:rFonts w:ascii="Arial" w:hAnsi="Arial" w:cs="Arial"/>
          <w:sz w:val="26"/>
          <w:szCs w:val="26"/>
        </w:rPr>
      </w:pPr>
      <w:r w:rsidRPr="006D2EE8">
        <w:rPr>
          <w:rFonts w:ascii="Arial" w:hAnsi="Arial" w:cs="Arial"/>
          <w:sz w:val="26"/>
          <w:szCs w:val="26"/>
        </w:rPr>
        <w:t xml:space="preserve">To </w:t>
      </w:r>
      <w:r w:rsidR="0047751E">
        <w:rPr>
          <w:rFonts w:ascii="Arial" w:hAnsi="Arial" w:cs="Arial"/>
          <w:sz w:val="26"/>
          <w:szCs w:val="26"/>
        </w:rPr>
        <w:t>provide a financial context regarding the DSG for 2018-19 and 2019-20 to help inform future decisions</w:t>
      </w:r>
      <w:r w:rsidRPr="006D2EE8" w:rsidR="00187E75">
        <w:rPr>
          <w:rFonts w:ascii="Arial" w:hAnsi="Arial" w:cs="Arial"/>
          <w:sz w:val="26"/>
          <w:szCs w:val="26"/>
        </w:rPr>
        <w:t>.</w:t>
      </w:r>
    </w:p>
    <w:p w:rsidRPr="006D2EE8" w:rsidR="00B73C3D" w:rsidP="00F101F1" w:rsidRDefault="00B73C3D">
      <w:pPr>
        <w:tabs>
          <w:tab w:val="left" w:pos="1418"/>
        </w:tabs>
        <w:ind w:left="284"/>
        <w:rPr>
          <w:rFonts w:ascii="Arial" w:hAnsi="Arial" w:cs="Arial"/>
          <w:sz w:val="26"/>
          <w:szCs w:val="26"/>
        </w:rPr>
      </w:pPr>
    </w:p>
    <w:p w:rsidRPr="006D2EE8" w:rsidR="00B73C3D" w:rsidP="001B0BAC" w:rsidRDefault="00B73C3D">
      <w:pPr>
        <w:ind w:left="1134" w:hanging="850"/>
        <w:rPr>
          <w:rFonts w:ascii="Arial" w:hAnsi="Arial" w:cs="Arial"/>
          <w:b/>
          <w:sz w:val="26"/>
          <w:szCs w:val="26"/>
        </w:rPr>
      </w:pPr>
      <w:r w:rsidRPr="006D2EE8">
        <w:rPr>
          <w:rFonts w:ascii="Arial" w:hAnsi="Arial" w:cs="Arial"/>
          <w:b/>
          <w:sz w:val="26"/>
          <w:szCs w:val="26"/>
        </w:rPr>
        <w:t>2.</w:t>
      </w:r>
      <w:r w:rsidRPr="006D2EE8">
        <w:rPr>
          <w:rFonts w:ascii="Arial" w:hAnsi="Arial" w:cs="Arial"/>
          <w:b/>
          <w:sz w:val="26"/>
          <w:szCs w:val="26"/>
        </w:rPr>
        <w:tab/>
      </w:r>
      <w:r w:rsidRPr="001B0BAC">
        <w:rPr>
          <w:rFonts w:ascii="Arial" w:hAnsi="Arial" w:cs="Arial"/>
          <w:b/>
          <w:sz w:val="26"/>
          <w:szCs w:val="26"/>
          <w:u w:val="single"/>
        </w:rPr>
        <w:t>Information and Analysis</w:t>
      </w:r>
      <w:r w:rsidRPr="006D2EE8">
        <w:rPr>
          <w:rFonts w:ascii="Arial" w:hAnsi="Arial" w:cs="Arial"/>
          <w:b/>
          <w:sz w:val="26"/>
          <w:szCs w:val="26"/>
        </w:rPr>
        <w:t xml:space="preserve"> </w:t>
      </w:r>
    </w:p>
    <w:p w:rsidR="00B73C3D" w:rsidP="00F101F1" w:rsidRDefault="00B73C3D">
      <w:pPr>
        <w:tabs>
          <w:tab w:val="left" w:pos="1418"/>
        </w:tabs>
        <w:ind w:left="284"/>
        <w:rPr>
          <w:rFonts w:ascii="Arial" w:hAnsi="Arial" w:cs="Arial"/>
          <w:b/>
          <w:sz w:val="26"/>
          <w:szCs w:val="26"/>
        </w:rPr>
      </w:pPr>
    </w:p>
    <w:p w:rsidRPr="0047751E" w:rsidR="0047751E" w:rsidP="0047751E" w:rsidRDefault="0047751E">
      <w:pPr>
        <w:tabs>
          <w:tab w:val="left" w:pos="1134"/>
        </w:tabs>
        <w:ind w:left="284"/>
        <w:rPr>
          <w:rFonts w:ascii="Arial" w:hAnsi="Arial" w:cs="Arial"/>
          <w:b/>
          <w:sz w:val="26"/>
          <w:szCs w:val="26"/>
        </w:rPr>
      </w:pPr>
      <w:r w:rsidRPr="0047751E">
        <w:rPr>
          <w:rFonts w:ascii="Arial" w:hAnsi="Arial" w:cs="Arial"/>
          <w:b/>
          <w:sz w:val="26"/>
          <w:szCs w:val="26"/>
        </w:rPr>
        <w:t>2.1</w:t>
      </w:r>
      <w:r w:rsidRPr="0047751E">
        <w:rPr>
          <w:rFonts w:ascii="Arial" w:hAnsi="Arial" w:cs="Arial"/>
          <w:b/>
          <w:sz w:val="26"/>
          <w:szCs w:val="26"/>
        </w:rPr>
        <w:tab/>
      </w:r>
      <w:r w:rsidRPr="0047751E">
        <w:rPr>
          <w:rFonts w:ascii="Arial" w:hAnsi="Arial" w:cs="Arial"/>
          <w:b/>
          <w:sz w:val="26"/>
          <w:szCs w:val="26"/>
          <w:u w:val="single"/>
        </w:rPr>
        <w:t>2018-19 projected spend</w:t>
      </w:r>
    </w:p>
    <w:p w:rsidR="0047751E" w:rsidP="00F101F1" w:rsidRDefault="0047751E">
      <w:pPr>
        <w:tabs>
          <w:tab w:val="left" w:pos="1418"/>
        </w:tabs>
        <w:ind w:left="284"/>
        <w:rPr>
          <w:rFonts w:ascii="Arial" w:hAnsi="Arial" w:cs="Arial"/>
          <w:b/>
          <w:sz w:val="26"/>
          <w:szCs w:val="26"/>
        </w:rPr>
      </w:pPr>
    </w:p>
    <w:p w:rsidR="0047751E" w:rsidP="00F101F1" w:rsidRDefault="0047751E">
      <w:pPr>
        <w:tabs>
          <w:tab w:val="left" w:pos="1418"/>
        </w:tabs>
        <w:ind w:left="284"/>
        <w:rPr>
          <w:rFonts w:ascii="Arial" w:hAnsi="Arial" w:cs="Arial"/>
          <w:sz w:val="26"/>
          <w:szCs w:val="26"/>
        </w:rPr>
      </w:pPr>
      <w:r w:rsidRPr="0047751E">
        <w:rPr>
          <w:rFonts w:ascii="Arial" w:hAnsi="Arial" w:cs="Arial"/>
          <w:sz w:val="26"/>
          <w:szCs w:val="26"/>
        </w:rPr>
        <w:t xml:space="preserve">A further monitoring of the 2018-19 DSG spend has been undertaken </w:t>
      </w:r>
      <w:r>
        <w:rPr>
          <w:rFonts w:ascii="Arial" w:hAnsi="Arial" w:cs="Arial"/>
          <w:sz w:val="26"/>
          <w:szCs w:val="26"/>
        </w:rPr>
        <w:t xml:space="preserve">which shows a significant increase in the forecast overspend for this year. The headline figure is an overspend of </w:t>
      </w:r>
      <w:r w:rsidR="002C4467">
        <w:rPr>
          <w:rFonts w:ascii="Arial" w:hAnsi="Arial" w:cs="Arial"/>
          <w:sz w:val="26"/>
          <w:szCs w:val="26"/>
        </w:rPr>
        <w:t>£2.198m, as shown in the table below.</w:t>
      </w:r>
    </w:p>
    <w:p w:rsidR="00D501EC" w:rsidP="00F101F1" w:rsidRDefault="00D501EC">
      <w:pPr>
        <w:tabs>
          <w:tab w:val="left" w:pos="1418"/>
        </w:tabs>
        <w:ind w:left="284"/>
        <w:rPr>
          <w:rFonts w:ascii="Arial" w:hAnsi="Arial" w:cs="Arial"/>
          <w:sz w:val="26"/>
          <w:szCs w:val="26"/>
        </w:rPr>
      </w:pPr>
    </w:p>
    <w:p w:rsidRPr="0047751E" w:rsidR="00D501EC" w:rsidP="00F101F1" w:rsidRDefault="00D501EC">
      <w:pPr>
        <w:tabs>
          <w:tab w:val="left" w:pos="1418"/>
        </w:tabs>
        <w:ind w:left="284"/>
        <w:rPr>
          <w:rFonts w:ascii="Arial" w:hAnsi="Arial" w:cs="Arial"/>
          <w:sz w:val="26"/>
          <w:szCs w:val="26"/>
        </w:rPr>
      </w:pPr>
      <w:r w:rsidRPr="00D501EC">
        <w:rPr>
          <w:noProof/>
          <w:lang w:eastAsia="en-GB"/>
        </w:rPr>
        <w:drawing>
          <wp:inline distT="0" distB="0" distL="0" distR="0">
            <wp:extent cx="6300470" cy="515297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5152978"/>
                    </a:xfrm>
                    <a:prstGeom prst="rect">
                      <a:avLst/>
                    </a:prstGeom>
                    <a:noFill/>
                    <a:ln>
                      <a:noFill/>
                    </a:ln>
                  </pic:spPr>
                </pic:pic>
              </a:graphicData>
            </a:graphic>
          </wp:inline>
        </w:drawing>
      </w:r>
    </w:p>
    <w:p w:rsidR="00E753F0" w:rsidP="00BC3352" w:rsidRDefault="00E753F0">
      <w:pPr>
        <w:ind w:left="284"/>
        <w:rPr>
          <w:rFonts w:ascii="Arial" w:hAnsi="Arial" w:cs="Arial"/>
          <w:sz w:val="26"/>
          <w:szCs w:val="26"/>
        </w:rPr>
      </w:pPr>
    </w:p>
    <w:p w:rsidR="0047751E" w:rsidP="00BC3352" w:rsidRDefault="002C4467">
      <w:pPr>
        <w:ind w:left="284"/>
        <w:rPr>
          <w:rFonts w:ascii="Arial" w:hAnsi="Arial" w:cs="Arial"/>
          <w:sz w:val="26"/>
          <w:szCs w:val="26"/>
        </w:rPr>
      </w:pPr>
      <w:r>
        <w:rPr>
          <w:rFonts w:ascii="Arial" w:hAnsi="Arial" w:cs="Arial"/>
          <w:sz w:val="26"/>
          <w:szCs w:val="26"/>
        </w:rPr>
        <w:t xml:space="preserve">It should be noted that this overspend is against a budget which </w:t>
      </w:r>
      <w:r w:rsidR="004720FA">
        <w:rPr>
          <w:rFonts w:ascii="Arial" w:hAnsi="Arial" w:cs="Arial"/>
          <w:sz w:val="26"/>
          <w:szCs w:val="26"/>
        </w:rPr>
        <w:t xml:space="preserve">already </w:t>
      </w:r>
      <w:r w:rsidR="00A675D8">
        <w:rPr>
          <w:rFonts w:ascii="Arial" w:hAnsi="Arial" w:cs="Arial"/>
          <w:sz w:val="26"/>
          <w:szCs w:val="26"/>
        </w:rPr>
        <w:t xml:space="preserve">relied on a </w:t>
      </w:r>
      <w:r>
        <w:rPr>
          <w:rFonts w:ascii="Arial" w:hAnsi="Arial" w:cs="Arial"/>
          <w:sz w:val="26"/>
          <w:szCs w:val="26"/>
        </w:rPr>
        <w:t xml:space="preserve">£1.210m </w:t>
      </w:r>
      <w:r w:rsidR="00A675D8">
        <w:rPr>
          <w:rFonts w:ascii="Arial" w:hAnsi="Arial" w:cs="Arial"/>
          <w:sz w:val="26"/>
          <w:szCs w:val="26"/>
        </w:rPr>
        <w:t xml:space="preserve">drawdown from </w:t>
      </w:r>
      <w:r>
        <w:rPr>
          <w:rFonts w:ascii="Arial" w:hAnsi="Arial" w:cs="Arial"/>
          <w:sz w:val="26"/>
          <w:szCs w:val="26"/>
        </w:rPr>
        <w:t>reserves</w:t>
      </w:r>
      <w:r w:rsidR="004720FA">
        <w:rPr>
          <w:rFonts w:ascii="Arial" w:hAnsi="Arial" w:cs="Arial"/>
          <w:sz w:val="26"/>
          <w:szCs w:val="26"/>
        </w:rPr>
        <w:t>. In other words</w:t>
      </w:r>
      <w:r w:rsidR="00A675D8">
        <w:rPr>
          <w:rFonts w:ascii="Arial" w:hAnsi="Arial" w:cs="Arial"/>
          <w:sz w:val="26"/>
          <w:szCs w:val="26"/>
        </w:rPr>
        <w:t xml:space="preserve">, </w:t>
      </w:r>
      <w:r w:rsidR="004720FA">
        <w:rPr>
          <w:rFonts w:ascii="Arial" w:hAnsi="Arial" w:cs="Arial"/>
          <w:sz w:val="26"/>
          <w:szCs w:val="26"/>
        </w:rPr>
        <w:t xml:space="preserve">the latest forecast indicates that spending will exceed the annual grant by around </w:t>
      </w:r>
      <w:r>
        <w:rPr>
          <w:rFonts w:ascii="Arial" w:hAnsi="Arial" w:cs="Arial"/>
          <w:sz w:val="26"/>
          <w:szCs w:val="26"/>
        </w:rPr>
        <w:t>£3.408m.</w:t>
      </w:r>
    </w:p>
    <w:p w:rsidR="002C4467" w:rsidP="00BC3352" w:rsidRDefault="002C4467">
      <w:pPr>
        <w:ind w:left="284"/>
        <w:rPr>
          <w:rFonts w:ascii="Arial" w:hAnsi="Arial" w:cs="Arial"/>
          <w:sz w:val="26"/>
          <w:szCs w:val="26"/>
        </w:rPr>
      </w:pPr>
    </w:p>
    <w:p w:rsidR="004720FA" w:rsidP="00BC3352" w:rsidRDefault="002C4467">
      <w:pPr>
        <w:ind w:left="284"/>
        <w:rPr>
          <w:rFonts w:ascii="Arial" w:hAnsi="Arial" w:cs="Arial"/>
          <w:sz w:val="26"/>
          <w:szCs w:val="26"/>
        </w:rPr>
      </w:pPr>
      <w:r>
        <w:rPr>
          <w:rFonts w:ascii="Arial" w:hAnsi="Arial" w:cs="Arial"/>
          <w:sz w:val="26"/>
          <w:szCs w:val="26"/>
        </w:rPr>
        <w:t xml:space="preserve">At </w:t>
      </w:r>
      <w:r w:rsidR="00A675D8">
        <w:rPr>
          <w:rFonts w:ascii="Arial" w:hAnsi="Arial" w:cs="Arial"/>
          <w:sz w:val="26"/>
          <w:szCs w:val="26"/>
        </w:rPr>
        <w:t xml:space="preserve">31 March 2018 </w:t>
      </w:r>
      <w:r>
        <w:rPr>
          <w:rFonts w:ascii="Arial" w:hAnsi="Arial" w:cs="Arial"/>
          <w:sz w:val="26"/>
          <w:szCs w:val="26"/>
        </w:rPr>
        <w:t xml:space="preserve">the accumulated DSG reserves were £8.202m. However, £1.579m of this sum </w:t>
      </w:r>
      <w:r w:rsidR="004720FA">
        <w:rPr>
          <w:rFonts w:ascii="Arial" w:hAnsi="Arial" w:cs="Arial"/>
          <w:sz w:val="26"/>
          <w:szCs w:val="26"/>
        </w:rPr>
        <w:t xml:space="preserve">has subsequently been </w:t>
      </w:r>
      <w:r>
        <w:rPr>
          <w:rFonts w:ascii="Arial" w:hAnsi="Arial" w:cs="Arial"/>
          <w:sz w:val="26"/>
          <w:szCs w:val="26"/>
        </w:rPr>
        <w:t xml:space="preserve">clawed back by the DfE as </w:t>
      </w:r>
      <w:r w:rsidR="004720FA">
        <w:rPr>
          <w:rFonts w:ascii="Arial" w:hAnsi="Arial" w:cs="Arial"/>
          <w:sz w:val="26"/>
          <w:szCs w:val="26"/>
        </w:rPr>
        <w:t xml:space="preserve">it relates to the overpayment of </w:t>
      </w:r>
      <w:r>
        <w:rPr>
          <w:rFonts w:ascii="Arial" w:hAnsi="Arial" w:cs="Arial"/>
          <w:sz w:val="26"/>
          <w:szCs w:val="26"/>
        </w:rPr>
        <w:t xml:space="preserve">Early Years Block </w:t>
      </w:r>
      <w:r w:rsidR="004720FA">
        <w:rPr>
          <w:rFonts w:ascii="Arial" w:hAnsi="Arial" w:cs="Arial"/>
          <w:sz w:val="26"/>
          <w:szCs w:val="26"/>
        </w:rPr>
        <w:t xml:space="preserve">grant. A </w:t>
      </w:r>
      <w:r>
        <w:rPr>
          <w:rFonts w:ascii="Arial" w:hAnsi="Arial" w:cs="Arial"/>
          <w:sz w:val="26"/>
          <w:szCs w:val="26"/>
        </w:rPr>
        <w:t xml:space="preserve">further </w:t>
      </w:r>
      <w:r w:rsidR="004720FA">
        <w:rPr>
          <w:rFonts w:ascii="Arial" w:hAnsi="Arial" w:cs="Arial"/>
          <w:sz w:val="26"/>
          <w:szCs w:val="26"/>
        </w:rPr>
        <w:t xml:space="preserve">deduction of </w:t>
      </w:r>
      <w:r>
        <w:rPr>
          <w:rFonts w:ascii="Arial" w:hAnsi="Arial" w:cs="Arial"/>
          <w:sz w:val="26"/>
          <w:szCs w:val="26"/>
        </w:rPr>
        <w:t xml:space="preserve">£0.432m </w:t>
      </w:r>
      <w:r w:rsidR="004720FA">
        <w:rPr>
          <w:rFonts w:ascii="Arial" w:hAnsi="Arial" w:cs="Arial"/>
          <w:sz w:val="26"/>
          <w:szCs w:val="26"/>
        </w:rPr>
        <w:t xml:space="preserve">has been made </w:t>
      </w:r>
      <w:r>
        <w:rPr>
          <w:rFonts w:ascii="Arial" w:hAnsi="Arial" w:cs="Arial"/>
          <w:sz w:val="26"/>
          <w:szCs w:val="26"/>
        </w:rPr>
        <w:t>in respect of the High Needs Import/Export adjustment</w:t>
      </w:r>
      <w:r w:rsidR="004720FA">
        <w:rPr>
          <w:rFonts w:ascii="Arial" w:hAnsi="Arial" w:cs="Arial"/>
          <w:sz w:val="26"/>
          <w:szCs w:val="26"/>
        </w:rPr>
        <w:t xml:space="preserve">. The start of year DSG reserves after these items total </w:t>
      </w:r>
      <w:r>
        <w:rPr>
          <w:rFonts w:ascii="Arial" w:hAnsi="Arial" w:cs="Arial"/>
          <w:sz w:val="26"/>
          <w:szCs w:val="26"/>
        </w:rPr>
        <w:t xml:space="preserve">£6.191m. </w:t>
      </w:r>
    </w:p>
    <w:p w:rsidR="004720FA" w:rsidP="00BC3352" w:rsidRDefault="004720FA">
      <w:pPr>
        <w:ind w:left="284"/>
        <w:rPr>
          <w:rFonts w:ascii="Arial" w:hAnsi="Arial" w:cs="Arial"/>
          <w:sz w:val="26"/>
          <w:szCs w:val="26"/>
        </w:rPr>
      </w:pPr>
    </w:p>
    <w:p w:rsidR="004720FA" w:rsidP="00BC3352" w:rsidRDefault="002C4467">
      <w:pPr>
        <w:ind w:left="284"/>
        <w:rPr>
          <w:rFonts w:ascii="Arial" w:hAnsi="Arial" w:cs="Arial"/>
          <w:sz w:val="26"/>
          <w:szCs w:val="26"/>
        </w:rPr>
      </w:pPr>
      <w:r>
        <w:rPr>
          <w:rFonts w:ascii="Arial" w:hAnsi="Arial" w:cs="Arial"/>
          <w:sz w:val="26"/>
          <w:szCs w:val="26"/>
        </w:rPr>
        <w:t xml:space="preserve">Deducting the forecast overspend (£2.198m) and reliance on reserves (£1.210m) figures means that the projected unallocated DSG reserve going into 2019-20 will be </w:t>
      </w:r>
      <w:r w:rsidR="00A675D8">
        <w:rPr>
          <w:rFonts w:ascii="Arial" w:hAnsi="Arial" w:cs="Arial"/>
          <w:sz w:val="26"/>
          <w:szCs w:val="26"/>
        </w:rPr>
        <w:t xml:space="preserve">around </w:t>
      </w:r>
      <w:r w:rsidR="004720FA">
        <w:rPr>
          <w:rFonts w:ascii="Arial" w:hAnsi="Arial" w:cs="Arial"/>
          <w:sz w:val="26"/>
          <w:szCs w:val="26"/>
        </w:rPr>
        <w:t xml:space="preserve">£2.783m.  Based on current spending patterns this balance would be exhausted during 2019-20 and would increase the likelihood of schools’ budgets having to be reduced in 2020-21 to cover the shortfall. </w:t>
      </w:r>
    </w:p>
    <w:p w:rsidR="004720FA" w:rsidP="00BC3352" w:rsidRDefault="004720FA">
      <w:pPr>
        <w:ind w:left="284"/>
        <w:rPr>
          <w:rFonts w:ascii="Arial" w:hAnsi="Arial" w:cs="Arial"/>
          <w:sz w:val="26"/>
          <w:szCs w:val="26"/>
        </w:rPr>
      </w:pPr>
    </w:p>
    <w:p w:rsidR="004720FA" w:rsidP="00BC3352" w:rsidRDefault="004720FA">
      <w:pPr>
        <w:ind w:left="284"/>
        <w:rPr>
          <w:rFonts w:ascii="Arial" w:hAnsi="Arial" w:cs="Arial"/>
          <w:sz w:val="26"/>
          <w:szCs w:val="26"/>
        </w:rPr>
      </w:pPr>
      <w:r>
        <w:rPr>
          <w:rFonts w:ascii="Arial" w:hAnsi="Arial" w:cs="Arial"/>
          <w:sz w:val="26"/>
          <w:szCs w:val="26"/>
        </w:rPr>
        <w:t xml:space="preserve">In order to </w:t>
      </w:r>
      <w:r w:rsidR="00A675D8">
        <w:rPr>
          <w:rFonts w:ascii="Arial" w:hAnsi="Arial" w:cs="Arial"/>
          <w:sz w:val="26"/>
          <w:szCs w:val="26"/>
        </w:rPr>
        <w:t xml:space="preserve">try and </w:t>
      </w:r>
      <w:r>
        <w:rPr>
          <w:rFonts w:ascii="Arial" w:hAnsi="Arial" w:cs="Arial"/>
          <w:sz w:val="26"/>
          <w:szCs w:val="26"/>
        </w:rPr>
        <w:t xml:space="preserve">avoid this scenario it is recommended that every opportunity is taken to reduce allocations in 2019-20 </w:t>
      </w:r>
      <w:r w:rsidR="0061016F">
        <w:rPr>
          <w:rFonts w:ascii="Arial" w:hAnsi="Arial" w:cs="Arial"/>
          <w:sz w:val="26"/>
          <w:szCs w:val="26"/>
        </w:rPr>
        <w:t xml:space="preserve">so as </w:t>
      </w:r>
      <w:r>
        <w:rPr>
          <w:rFonts w:ascii="Arial" w:hAnsi="Arial" w:cs="Arial"/>
          <w:sz w:val="26"/>
          <w:szCs w:val="26"/>
        </w:rPr>
        <w:t xml:space="preserve">to reinstate the DSG reserves to a </w:t>
      </w:r>
      <w:r w:rsidR="0061016F">
        <w:rPr>
          <w:rFonts w:ascii="Arial" w:hAnsi="Arial" w:cs="Arial"/>
          <w:sz w:val="26"/>
          <w:szCs w:val="26"/>
        </w:rPr>
        <w:t xml:space="preserve">safer </w:t>
      </w:r>
      <w:r>
        <w:rPr>
          <w:rFonts w:ascii="Arial" w:hAnsi="Arial" w:cs="Arial"/>
          <w:sz w:val="26"/>
          <w:szCs w:val="26"/>
        </w:rPr>
        <w:t xml:space="preserve">level. There should be some opportunities to deliver this as each of the main spending areas for 2019-20 </w:t>
      </w:r>
      <w:r w:rsidR="0061016F">
        <w:rPr>
          <w:rFonts w:ascii="Arial" w:hAnsi="Arial" w:cs="Arial"/>
          <w:sz w:val="26"/>
          <w:szCs w:val="26"/>
        </w:rPr>
        <w:t xml:space="preserve">will be </w:t>
      </w:r>
      <w:r>
        <w:rPr>
          <w:rFonts w:ascii="Arial" w:hAnsi="Arial" w:cs="Arial"/>
          <w:sz w:val="26"/>
          <w:szCs w:val="26"/>
        </w:rPr>
        <w:t xml:space="preserve">considered by </w:t>
      </w:r>
      <w:r w:rsidR="0061016F">
        <w:rPr>
          <w:rFonts w:ascii="Arial" w:hAnsi="Arial" w:cs="Arial"/>
          <w:sz w:val="26"/>
          <w:szCs w:val="26"/>
        </w:rPr>
        <w:t xml:space="preserve">the </w:t>
      </w:r>
      <w:r>
        <w:rPr>
          <w:rFonts w:ascii="Arial" w:hAnsi="Arial" w:cs="Arial"/>
          <w:sz w:val="26"/>
          <w:szCs w:val="26"/>
        </w:rPr>
        <w:t>Forum at both this meeting and the one in January 2019. This report highlights some of the opportunities.</w:t>
      </w:r>
    </w:p>
    <w:p w:rsidR="004720FA" w:rsidP="00BC3352" w:rsidRDefault="004720FA">
      <w:pPr>
        <w:ind w:left="284"/>
        <w:rPr>
          <w:rFonts w:ascii="Arial" w:hAnsi="Arial" w:cs="Arial"/>
          <w:sz w:val="26"/>
          <w:szCs w:val="26"/>
        </w:rPr>
      </w:pPr>
    </w:p>
    <w:p w:rsidRPr="0047751E" w:rsidR="004720FA" w:rsidP="004720FA" w:rsidRDefault="004720FA">
      <w:pPr>
        <w:tabs>
          <w:tab w:val="left" w:pos="1134"/>
        </w:tabs>
        <w:ind w:left="284"/>
        <w:rPr>
          <w:rFonts w:ascii="Arial" w:hAnsi="Arial" w:cs="Arial"/>
          <w:b/>
          <w:sz w:val="26"/>
          <w:szCs w:val="26"/>
        </w:rPr>
      </w:pPr>
      <w:r w:rsidRPr="0047751E">
        <w:rPr>
          <w:rFonts w:ascii="Arial" w:hAnsi="Arial" w:cs="Arial"/>
          <w:b/>
          <w:sz w:val="26"/>
          <w:szCs w:val="26"/>
        </w:rPr>
        <w:t>2.</w:t>
      </w:r>
      <w:r>
        <w:rPr>
          <w:rFonts w:ascii="Arial" w:hAnsi="Arial" w:cs="Arial"/>
          <w:b/>
          <w:sz w:val="26"/>
          <w:szCs w:val="26"/>
        </w:rPr>
        <w:t>2</w:t>
      </w:r>
      <w:r w:rsidRPr="0047751E">
        <w:rPr>
          <w:rFonts w:ascii="Arial" w:hAnsi="Arial" w:cs="Arial"/>
          <w:b/>
          <w:sz w:val="26"/>
          <w:szCs w:val="26"/>
        </w:rPr>
        <w:tab/>
      </w:r>
      <w:r w:rsidRPr="0047751E">
        <w:rPr>
          <w:rFonts w:ascii="Arial" w:hAnsi="Arial" w:cs="Arial"/>
          <w:b/>
          <w:sz w:val="26"/>
          <w:szCs w:val="26"/>
          <w:u w:val="single"/>
        </w:rPr>
        <w:t>201</w:t>
      </w:r>
      <w:r>
        <w:rPr>
          <w:rFonts w:ascii="Arial" w:hAnsi="Arial" w:cs="Arial"/>
          <w:b/>
          <w:sz w:val="26"/>
          <w:szCs w:val="26"/>
          <w:u w:val="single"/>
        </w:rPr>
        <w:t>9</w:t>
      </w:r>
      <w:r w:rsidRPr="0047751E">
        <w:rPr>
          <w:rFonts w:ascii="Arial" w:hAnsi="Arial" w:cs="Arial"/>
          <w:b/>
          <w:sz w:val="26"/>
          <w:szCs w:val="26"/>
          <w:u w:val="single"/>
        </w:rPr>
        <w:t>-</w:t>
      </w:r>
      <w:r>
        <w:rPr>
          <w:rFonts w:ascii="Arial" w:hAnsi="Arial" w:cs="Arial"/>
          <w:b/>
          <w:sz w:val="26"/>
          <w:szCs w:val="26"/>
          <w:u w:val="single"/>
        </w:rPr>
        <w:t>20 Schools Block</w:t>
      </w:r>
    </w:p>
    <w:p w:rsidR="004720FA" w:rsidP="00BC3352" w:rsidRDefault="004720FA">
      <w:pPr>
        <w:ind w:left="284"/>
        <w:rPr>
          <w:rFonts w:ascii="Arial" w:hAnsi="Arial" w:cs="Arial"/>
          <w:sz w:val="26"/>
          <w:szCs w:val="26"/>
        </w:rPr>
      </w:pPr>
      <w:r>
        <w:rPr>
          <w:rFonts w:ascii="Arial" w:hAnsi="Arial" w:cs="Arial"/>
          <w:sz w:val="26"/>
          <w:szCs w:val="26"/>
        </w:rPr>
        <w:tab/>
      </w:r>
    </w:p>
    <w:p w:rsidR="004720FA" w:rsidP="00BC3352" w:rsidRDefault="005F481C">
      <w:pPr>
        <w:ind w:left="284"/>
        <w:rPr>
          <w:rFonts w:ascii="Arial" w:hAnsi="Arial" w:cs="Arial"/>
          <w:sz w:val="26"/>
          <w:szCs w:val="26"/>
        </w:rPr>
      </w:pPr>
      <w:r>
        <w:rPr>
          <w:rFonts w:ascii="Arial" w:hAnsi="Arial" w:cs="Arial"/>
          <w:sz w:val="26"/>
          <w:szCs w:val="26"/>
        </w:rPr>
        <w:t xml:space="preserve">The LA’s consultation set out its proposals for 2019-20. There will be more Schools Block funding for Derbyshire next year as the government continues the roll out of the National Funding Formula, with both the Primary and Secondary Units of Funding increasing. The consultation indicated that the increase in funding from the PUF/SUFs would be fully utilised as shown in the table below. </w:t>
      </w:r>
    </w:p>
    <w:p w:rsidR="005F481C" w:rsidP="00BC3352" w:rsidRDefault="005F481C">
      <w:pPr>
        <w:ind w:left="284"/>
        <w:rPr>
          <w:rFonts w:ascii="Arial" w:hAnsi="Arial" w:cs="Arial"/>
          <w:sz w:val="26"/>
          <w:szCs w:val="26"/>
        </w:rPr>
      </w:pPr>
    </w:p>
    <w:tbl>
      <w:tblPr>
        <w:tblStyle w:val="TableGrid"/>
        <w:tblW w:w="10150" w:type="dxa"/>
        <w:tblInd w:w="-11" w:type="dxa"/>
        <w:tblLook w:val="04A0" w:firstRow="1" w:lastRow="0" w:firstColumn="1" w:lastColumn="0" w:noHBand="0" w:noVBand="1"/>
      </w:tblPr>
      <w:tblGrid>
        <w:gridCol w:w="7377"/>
        <w:gridCol w:w="1284"/>
        <w:gridCol w:w="1489"/>
      </w:tblGrid>
      <w:tr w:rsidRPr="007C3BA2" w:rsidR="005F481C" w:rsidTr="005F481C">
        <w:tc>
          <w:tcPr>
            <w:tcW w:w="7377" w:type="dxa"/>
          </w:tcPr>
          <w:p w:rsidRPr="005F481C" w:rsidR="005F481C" w:rsidP="00A87639" w:rsidRDefault="005F481C">
            <w:pPr>
              <w:rPr>
                <w:rStyle w:val="BookTitle"/>
                <w:rFonts w:ascii="Arial" w:hAnsi="Arial" w:cs="Arial"/>
                <w:b w:val="0"/>
                <w:bCs w:val="0"/>
                <w:i w:val="0"/>
                <w:iCs w:val="0"/>
                <w:szCs w:val="24"/>
              </w:rPr>
            </w:pPr>
          </w:p>
        </w:tc>
        <w:tc>
          <w:tcPr>
            <w:tcW w:w="1284"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Primary</w:t>
            </w:r>
          </w:p>
        </w:tc>
        <w:tc>
          <w:tcPr>
            <w:tcW w:w="1489"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Secondary</w:t>
            </w:r>
          </w:p>
        </w:tc>
      </w:tr>
      <w:tr w:rsidRPr="007C3BA2" w:rsidR="005F481C" w:rsidTr="005F481C">
        <w:tc>
          <w:tcPr>
            <w:tcW w:w="7377" w:type="dxa"/>
          </w:tcPr>
          <w:p w:rsidRPr="005F481C" w:rsidR="005F481C" w:rsidP="00A87639" w:rsidRDefault="005F481C">
            <w:pPr>
              <w:rPr>
                <w:rStyle w:val="BookTitle"/>
                <w:rFonts w:ascii="Arial" w:hAnsi="Arial" w:cs="Arial"/>
                <w:b w:val="0"/>
                <w:bCs w:val="0"/>
                <w:i w:val="0"/>
                <w:iCs w:val="0"/>
                <w:szCs w:val="24"/>
              </w:rPr>
            </w:pPr>
          </w:p>
        </w:tc>
        <w:tc>
          <w:tcPr>
            <w:tcW w:w="1284"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£m</w:t>
            </w:r>
          </w:p>
        </w:tc>
        <w:tc>
          <w:tcPr>
            <w:tcW w:w="1489"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£m</w:t>
            </w:r>
          </w:p>
        </w:tc>
      </w:tr>
      <w:tr w:rsidRPr="00862410" w:rsidR="005F481C" w:rsidTr="005F481C">
        <w:tc>
          <w:tcPr>
            <w:tcW w:w="7377" w:type="dxa"/>
          </w:tcPr>
          <w:p w:rsidRPr="005F481C" w:rsidR="005F481C" w:rsidP="00A87639" w:rsidRDefault="005F481C">
            <w:pPr>
              <w:rPr>
                <w:rStyle w:val="BookTitle"/>
                <w:rFonts w:ascii="Arial" w:hAnsi="Arial" w:cs="Arial"/>
                <w:b w:val="0"/>
                <w:bCs w:val="0"/>
                <w:i w:val="0"/>
                <w:iCs w:val="0"/>
                <w:szCs w:val="24"/>
              </w:rPr>
            </w:pPr>
            <w:r w:rsidRPr="005F481C">
              <w:rPr>
                <w:rStyle w:val="BookTitle"/>
                <w:rFonts w:ascii="Arial" w:hAnsi="Arial" w:cs="Arial"/>
                <w:b w:val="0"/>
                <w:i w:val="0"/>
                <w:szCs w:val="24"/>
              </w:rPr>
              <w:t>Release of existing capped gains at 3% (Primary only)</w:t>
            </w:r>
          </w:p>
        </w:tc>
        <w:tc>
          <w:tcPr>
            <w:tcW w:w="1284" w:type="dxa"/>
            <w:vAlign w:val="center"/>
          </w:tcPr>
          <w:p w:rsidRPr="005F481C" w:rsidR="005F481C" w:rsidP="00A87639" w:rsidRDefault="005F481C">
            <w:pPr>
              <w:jc w:val="right"/>
              <w:rPr>
                <w:rFonts w:ascii="Arial" w:hAnsi="Arial" w:cs="Arial"/>
                <w:bCs/>
                <w:color w:val="000000"/>
                <w:szCs w:val="24"/>
              </w:rPr>
            </w:pPr>
            <w:r w:rsidRPr="005F481C">
              <w:rPr>
                <w:rFonts w:ascii="Arial" w:hAnsi="Arial" w:cs="Arial"/>
                <w:bCs/>
                <w:color w:val="000000"/>
                <w:szCs w:val="24"/>
              </w:rPr>
              <w:t>2.193</w:t>
            </w:r>
          </w:p>
        </w:tc>
        <w:tc>
          <w:tcPr>
            <w:tcW w:w="1489" w:type="dxa"/>
            <w:vAlign w:val="center"/>
          </w:tcPr>
          <w:p w:rsidRPr="005F481C" w:rsidR="005F481C" w:rsidP="00A87639" w:rsidRDefault="005F481C">
            <w:pPr>
              <w:jc w:val="right"/>
              <w:rPr>
                <w:rFonts w:ascii="Arial" w:hAnsi="Arial" w:cs="Arial"/>
                <w:bCs/>
                <w:color w:val="000000"/>
                <w:szCs w:val="24"/>
              </w:rPr>
            </w:pPr>
            <w:r w:rsidRPr="005F481C">
              <w:rPr>
                <w:rFonts w:ascii="Arial" w:hAnsi="Arial" w:cs="Arial"/>
                <w:bCs/>
                <w:color w:val="000000"/>
                <w:szCs w:val="24"/>
              </w:rPr>
              <w:t>0.000</w:t>
            </w:r>
          </w:p>
        </w:tc>
      </w:tr>
      <w:tr w:rsidRPr="007C3BA2" w:rsidR="005F481C" w:rsidTr="005F481C">
        <w:tc>
          <w:tcPr>
            <w:tcW w:w="7377" w:type="dxa"/>
          </w:tcPr>
          <w:p w:rsidRPr="005F481C" w:rsidR="005F481C" w:rsidP="00A87639" w:rsidRDefault="005F481C">
            <w:pPr>
              <w:rPr>
                <w:rStyle w:val="BookTitle"/>
                <w:rFonts w:ascii="Arial" w:hAnsi="Arial" w:cs="Arial"/>
                <w:b w:val="0"/>
                <w:bCs w:val="0"/>
                <w:i w:val="0"/>
                <w:iCs w:val="0"/>
                <w:szCs w:val="24"/>
              </w:rPr>
            </w:pPr>
            <w:r w:rsidRPr="005F481C">
              <w:rPr>
                <w:rStyle w:val="BookTitle"/>
                <w:rFonts w:ascii="Arial" w:hAnsi="Arial" w:cs="Arial"/>
                <w:b w:val="0"/>
                <w:i w:val="0"/>
                <w:szCs w:val="24"/>
              </w:rPr>
              <w:t>Net increase in LPA (Primary only)</w:t>
            </w:r>
          </w:p>
        </w:tc>
        <w:tc>
          <w:tcPr>
            <w:tcW w:w="1284"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1.959</w:t>
            </w:r>
          </w:p>
        </w:tc>
        <w:tc>
          <w:tcPr>
            <w:tcW w:w="1489"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0.000</w:t>
            </w:r>
          </w:p>
        </w:tc>
      </w:tr>
      <w:tr w:rsidRPr="00862410" w:rsidR="005F481C" w:rsidTr="005F481C">
        <w:tc>
          <w:tcPr>
            <w:tcW w:w="7377" w:type="dxa"/>
          </w:tcPr>
          <w:p w:rsidRPr="005F481C" w:rsidR="005F481C" w:rsidP="00A87639" w:rsidRDefault="005F481C">
            <w:pPr>
              <w:rPr>
                <w:rStyle w:val="BookTitle"/>
                <w:rFonts w:ascii="Arial" w:hAnsi="Arial" w:cs="Arial"/>
                <w:b w:val="0"/>
                <w:bCs w:val="0"/>
                <w:i w:val="0"/>
                <w:iCs w:val="0"/>
                <w:szCs w:val="24"/>
              </w:rPr>
            </w:pPr>
            <w:r w:rsidRPr="005F481C">
              <w:rPr>
                <w:rStyle w:val="BookTitle"/>
                <w:rFonts w:ascii="Arial" w:hAnsi="Arial" w:cs="Arial"/>
                <w:b w:val="0"/>
                <w:i w:val="0"/>
                <w:szCs w:val="24"/>
              </w:rPr>
              <w:t>Increase Minimum Funding Level to £3,500/£4,800 per pupil</w:t>
            </w:r>
          </w:p>
        </w:tc>
        <w:tc>
          <w:tcPr>
            <w:tcW w:w="1284"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1.132</w:t>
            </w:r>
          </w:p>
        </w:tc>
        <w:tc>
          <w:tcPr>
            <w:tcW w:w="1489" w:type="dxa"/>
          </w:tcPr>
          <w:p w:rsidRPr="005F481C" w:rsidR="005F481C" w:rsidP="00A87639" w:rsidRDefault="005F481C">
            <w:pPr>
              <w:jc w:val="right"/>
              <w:rPr>
                <w:rStyle w:val="BookTitle"/>
                <w:rFonts w:ascii="Arial" w:hAnsi="Arial" w:cs="Arial"/>
                <w:b w:val="0"/>
                <w:bCs w:val="0"/>
                <w:i w:val="0"/>
                <w:iCs w:val="0"/>
                <w:szCs w:val="24"/>
              </w:rPr>
            </w:pPr>
            <w:r w:rsidRPr="005F481C">
              <w:rPr>
                <w:rStyle w:val="BookTitle"/>
                <w:rFonts w:ascii="Arial" w:hAnsi="Arial" w:cs="Arial"/>
                <w:b w:val="0"/>
                <w:i w:val="0"/>
                <w:szCs w:val="24"/>
              </w:rPr>
              <w:t>1.333</w:t>
            </w:r>
          </w:p>
        </w:tc>
      </w:tr>
      <w:tr w:rsidRPr="007C3BA2" w:rsidR="005F481C" w:rsidTr="005F481C">
        <w:tc>
          <w:tcPr>
            <w:tcW w:w="7377" w:type="dxa"/>
            <w:vAlign w:val="center"/>
          </w:tcPr>
          <w:p w:rsidRPr="005F481C" w:rsidR="005F481C" w:rsidP="00A87639" w:rsidRDefault="005F481C">
            <w:pPr>
              <w:rPr>
                <w:rFonts w:ascii="Arial" w:hAnsi="Arial" w:cs="Arial"/>
                <w:color w:val="000000"/>
                <w:szCs w:val="24"/>
              </w:rPr>
            </w:pPr>
            <w:r w:rsidRPr="005F481C">
              <w:rPr>
                <w:rFonts w:ascii="Arial" w:hAnsi="Arial" w:cs="Arial"/>
                <w:color w:val="000000"/>
                <w:szCs w:val="24"/>
              </w:rPr>
              <w:t>Apply 1% floor</w:t>
            </w:r>
          </w:p>
        </w:tc>
        <w:tc>
          <w:tcPr>
            <w:tcW w:w="1284"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0.156</w:t>
            </w:r>
          </w:p>
        </w:tc>
        <w:tc>
          <w:tcPr>
            <w:tcW w:w="1489"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0.349</w:t>
            </w:r>
          </w:p>
        </w:tc>
      </w:tr>
      <w:tr w:rsidRPr="007C3BA2" w:rsidR="005F481C" w:rsidTr="005F481C">
        <w:tc>
          <w:tcPr>
            <w:tcW w:w="7377" w:type="dxa"/>
            <w:vAlign w:val="center"/>
          </w:tcPr>
          <w:p w:rsidRPr="005F481C" w:rsidR="005F481C" w:rsidP="00A87639" w:rsidRDefault="005F481C">
            <w:pPr>
              <w:rPr>
                <w:rFonts w:ascii="Arial" w:hAnsi="Arial" w:cs="Arial"/>
                <w:color w:val="000000"/>
                <w:szCs w:val="24"/>
              </w:rPr>
            </w:pPr>
          </w:p>
        </w:tc>
        <w:tc>
          <w:tcPr>
            <w:tcW w:w="1284" w:type="dxa"/>
            <w:vAlign w:val="center"/>
          </w:tcPr>
          <w:p w:rsidRPr="005F481C" w:rsidR="005F481C" w:rsidP="00A87639" w:rsidRDefault="005F481C">
            <w:pPr>
              <w:jc w:val="right"/>
              <w:rPr>
                <w:rFonts w:ascii="Arial" w:hAnsi="Arial" w:cs="Arial"/>
                <w:color w:val="000000"/>
                <w:szCs w:val="24"/>
              </w:rPr>
            </w:pPr>
          </w:p>
        </w:tc>
        <w:tc>
          <w:tcPr>
            <w:tcW w:w="1489" w:type="dxa"/>
            <w:vAlign w:val="center"/>
          </w:tcPr>
          <w:p w:rsidRPr="005F481C" w:rsidR="005F481C" w:rsidP="00A87639" w:rsidRDefault="005F481C">
            <w:pPr>
              <w:jc w:val="right"/>
              <w:rPr>
                <w:rFonts w:ascii="Arial" w:hAnsi="Arial" w:cs="Arial"/>
                <w:color w:val="000000"/>
                <w:szCs w:val="24"/>
              </w:rPr>
            </w:pPr>
          </w:p>
        </w:tc>
      </w:tr>
      <w:tr w:rsidRPr="007C3BA2" w:rsidR="005F481C" w:rsidTr="005F481C">
        <w:tc>
          <w:tcPr>
            <w:tcW w:w="7377" w:type="dxa"/>
            <w:vAlign w:val="center"/>
          </w:tcPr>
          <w:p w:rsidRPr="005F481C" w:rsidR="005F481C" w:rsidP="00A87639" w:rsidRDefault="005F481C">
            <w:pPr>
              <w:rPr>
                <w:rFonts w:ascii="Arial" w:hAnsi="Arial" w:cs="Arial"/>
                <w:color w:val="000000"/>
                <w:szCs w:val="24"/>
              </w:rPr>
            </w:pPr>
            <w:r w:rsidRPr="005F481C">
              <w:rPr>
                <w:rFonts w:ascii="Arial" w:hAnsi="Arial" w:cs="Arial"/>
                <w:color w:val="000000"/>
                <w:szCs w:val="24"/>
              </w:rPr>
              <w:t>Cost of proposals</w:t>
            </w:r>
          </w:p>
        </w:tc>
        <w:tc>
          <w:tcPr>
            <w:tcW w:w="1284"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5.440</w:t>
            </w:r>
          </w:p>
        </w:tc>
        <w:tc>
          <w:tcPr>
            <w:tcW w:w="1489"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1.682</w:t>
            </w:r>
          </w:p>
        </w:tc>
      </w:tr>
      <w:tr w:rsidRPr="007C3BA2" w:rsidR="005F481C" w:rsidTr="005F481C">
        <w:tc>
          <w:tcPr>
            <w:tcW w:w="7377" w:type="dxa"/>
            <w:vAlign w:val="center"/>
          </w:tcPr>
          <w:p w:rsidRPr="005F481C" w:rsidR="005F481C" w:rsidP="005F481C" w:rsidRDefault="005F481C">
            <w:pPr>
              <w:rPr>
                <w:rFonts w:ascii="Arial" w:hAnsi="Arial" w:cs="Arial"/>
                <w:color w:val="000000"/>
                <w:szCs w:val="24"/>
              </w:rPr>
            </w:pPr>
            <w:r w:rsidRPr="005F481C">
              <w:rPr>
                <w:rFonts w:ascii="Arial" w:hAnsi="Arial" w:cs="Arial"/>
                <w:color w:val="000000"/>
                <w:szCs w:val="24"/>
              </w:rPr>
              <w:t xml:space="preserve">Increase in funding </w:t>
            </w:r>
            <w:r>
              <w:rPr>
                <w:rFonts w:ascii="Arial" w:hAnsi="Arial" w:cs="Arial"/>
                <w:color w:val="000000"/>
                <w:szCs w:val="24"/>
              </w:rPr>
              <w:t>based on increases in PUF/SUFs</w:t>
            </w:r>
          </w:p>
        </w:tc>
        <w:tc>
          <w:tcPr>
            <w:tcW w:w="1284"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5.818</w:t>
            </w:r>
          </w:p>
        </w:tc>
        <w:tc>
          <w:tcPr>
            <w:tcW w:w="1489"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1.756</w:t>
            </w:r>
          </w:p>
        </w:tc>
      </w:tr>
      <w:tr w:rsidRPr="007C3BA2" w:rsidR="005F481C" w:rsidTr="005F481C">
        <w:tc>
          <w:tcPr>
            <w:tcW w:w="7377" w:type="dxa"/>
            <w:vAlign w:val="center"/>
          </w:tcPr>
          <w:p w:rsidRPr="005F481C" w:rsidR="005F481C" w:rsidP="00A87639" w:rsidRDefault="005F481C">
            <w:pPr>
              <w:rPr>
                <w:rFonts w:ascii="Arial" w:hAnsi="Arial" w:cs="Arial"/>
                <w:color w:val="000000"/>
                <w:szCs w:val="24"/>
              </w:rPr>
            </w:pPr>
            <w:r w:rsidRPr="005F481C">
              <w:rPr>
                <w:rFonts w:ascii="Arial" w:hAnsi="Arial" w:cs="Arial"/>
                <w:color w:val="000000"/>
                <w:szCs w:val="24"/>
              </w:rPr>
              <w:t>Balance – to fund new schools/premises related inflation</w:t>
            </w:r>
          </w:p>
        </w:tc>
        <w:tc>
          <w:tcPr>
            <w:tcW w:w="1284"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0.378</w:t>
            </w:r>
          </w:p>
        </w:tc>
        <w:tc>
          <w:tcPr>
            <w:tcW w:w="1489" w:type="dxa"/>
            <w:vAlign w:val="center"/>
          </w:tcPr>
          <w:p w:rsidRPr="005F481C" w:rsidR="005F481C" w:rsidP="00A87639" w:rsidRDefault="005F481C">
            <w:pPr>
              <w:jc w:val="right"/>
              <w:rPr>
                <w:rFonts w:ascii="Arial" w:hAnsi="Arial" w:cs="Arial"/>
                <w:color w:val="000000"/>
                <w:szCs w:val="24"/>
              </w:rPr>
            </w:pPr>
            <w:r w:rsidRPr="005F481C">
              <w:rPr>
                <w:rFonts w:ascii="Arial" w:hAnsi="Arial" w:cs="Arial"/>
                <w:color w:val="000000"/>
                <w:szCs w:val="24"/>
              </w:rPr>
              <w:t>0.074</w:t>
            </w:r>
          </w:p>
        </w:tc>
      </w:tr>
    </w:tbl>
    <w:p w:rsidR="004720FA" w:rsidP="00BC3352" w:rsidRDefault="004720FA">
      <w:pPr>
        <w:ind w:left="284"/>
        <w:rPr>
          <w:rFonts w:ascii="Arial" w:hAnsi="Arial" w:cs="Arial"/>
          <w:sz w:val="26"/>
          <w:szCs w:val="26"/>
        </w:rPr>
      </w:pPr>
    </w:p>
    <w:p w:rsidR="007C7943" w:rsidP="00BC3352" w:rsidRDefault="007C7943">
      <w:pPr>
        <w:ind w:left="284"/>
        <w:rPr>
          <w:rFonts w:ascii="Arial" w:hAnsi="Arial" w:cs="Arial"/>
          <w:sz w:val="26"/>
          <w:szCs w:val="26"/>
        </w:rPr>
      </w:pPr>
      <w:r>
        <w:rPr>
          <w:rFonts w:ascii="Arial" w:hAnsi="Arial" w:cs="Arial"/>
          <w:sz w:val="26"/>
          <w:szCs w:val="26"/>
        </w:rPr>
        <w:t xml:space="preserve">It is expected that the calculated balance (£0.452m) will be needed to meet the cost of higher school rates bills and PFI costs. </w:t>
      </w:r>
    </w:p>
    <w:p w:rsidR="007C7943" w:rsidP="00BC3352" w:rsidRDefault="007C7943">
      <w:pPr>
        <w:ind w:left="284"/>
        <w:rPr>
          <w:rFonts w:ascii="Arial" w:hAnsi="Arial" w:cs="Arial"/>
          <w:sz w:val="26"/>
          <w:szCs w:val="26"/>
        </w:rPr>
      </w:pPr>
    </w:p>
    <w:p w:rsidR="00B578A9" w:rsidP="00BC3352" w:rsidRDefault="005F481C">
      <w:pPr>
        <w:ind w:left="284"/>
        <w:rPr>
          <w:rFonts w:ascii="Arial" w:hAnsi="Arial" w:cs="Arial"/>
          <w:sz w:val="26"/>
          <w:szCs w:val="26"/>
        </w:rPr>
      </w:pPr>
      <w:r>
        <w:rPr>
          <w:rFonts w:ascii="Arial" w:hAnsi="Arial" w:cs="Arial"/>
          <w:sz w:val="26"/>
          <w:szCs w:val="26"/>
        </w:rPr>
        <w:t>However, the number of pupils in Derbyshire schools i</w:t>
      </w:r>
      <w:r w:rsidR="007C7943">
        <w:rPr>
          <w:rFonts w:ascii="Arial" w:hAnsi="Arial" w:cs="Arial"/>
          <w:sz w:val="26"/>
          <w:szCs w:val="26"/>
        </w:rPr>
        <w:t>n October 2018 i</w:t>
      </w:r>
      <w:r>
        <w:rPr>
          <w:rFonts w:ascii="Arial" w:hAnsi="Arial" w:cs="Arial"/>
          <w:sz w:val="26"/>
          <w:szCs w:val="26"/>
        </w:rPr>
        <w:t xml:space="preserve">s expected to </w:t>
      </w:r>
      <w:r w:rsidR="007C7943">
        <w:rPr>
          <w:rFonts w:ascii="Arial" w:hAnsi="Arial" w:cs="Arial"/>
          <w:sz w:val="26"/>
          <w:szCs w:val="26"/>
        </w:rPr>
        <w:t>be higher (</w:t>
      </w:r>
      <w:r>
        <w:rPr>
          <w:rFonts w:ascii="Arial" w:hAnsi="Arial" w:cs="Arial"/>
          <w:sz w:val="26"/>
          <w:szCs w:val="26"/>
        </w:rPr>
        <w:t>89 (primary) and 1,065 (secondary)</w:t>
      </w:r>
      <w:r w:rsidR="007C7943">
        <w:rPr>
          <w:rFonts w:ascii="Arial" w:hAnsi="Arial" w:cs="Arial"/>
          <w:sz w:val="26"/>
          <w:szCs w:val="26"/>
        </w:rPr>
        <w:t>) than for October 2017</w:t>
      </w:r>
      <w:r>
        <w:rPr>
          <w:rFonts w:ascii="Arial" w:hAnsi="Arial" w:cs="Arial"/>
          <w:sz w:val="26"/>
          <w:szCs w:val="26"/>
        </w:rPr>
        <w:t xml:space="preserve">.  Each of these children will generate additional funding </w:t>
      </w:r>
      <w:r w:rsidR="007B5261">
        <w:rPr>
          <w:rFonts w:ascii="Arial" w:hAnsi="Arial" w:cs="Arial"/>
          <w:sz w:val="26"/>
          <w:szCs w:val="26"/>
        </w:rPr>
        <w:t xml:space="preserve">over and above </w:t>
      </w:r>
      <w:r>
        <w:rPr>
          <w:rFonts w:ascii="Arial" w:hAnsi="Arial" w:cs="Arial"/>
          <w:sz w:val="26"/>
          <w:szCs w:val="26"/>
        </w:rPr>
        <w:t>the marginal increase</w:t>
      </w:r>
      <w:r w:rsidR="007C7943">
        <w:rPr>
          <w:rFonts w:ascii="Arial" w:hAnsi="Arial" w:cs="Arial"/>
          <w:sz w:val="26"/>
          <w:szCs w:val="26"/>
        </w:rPr>
        <w:t>s</w:t>
      </w:r>
      <w:r>
        <w:rPr>
          <w:rFonts w:ascii="Arial" w:hAnsi="Arial" w:cs="Arial"/>
          <w:sz w:val="26"/>
          <w:szCs w:val="26"/>
        </w:rPr>
        <w:t xml:space="preserve"> in </w:t>
      </w:r>
      <w:r w:rsidR="007C7943">
        <w:rPr>
          <w:rFonts w:ascii="Arial" w:hAnsi="Arial" w:cs="Arial"/>
          <w:sz w:val="26"/>
          <w:szCs w:val="26"/>
        </w:rPr>
        <w:t>formula allocations</w:t>
      </w:r>
      <w:r>
        <w:rPr>
          <w:rFonts w:ascii="Arial" w:hAnsi="Arial" w:cs="Arial"/>
          <w:sz w:val="26"/>
          <w:szCs w:val="26"/>
        </w:rPr>
        <w:t xml:space="preserve">. The table </w:t>
      </w:r>
      <w:r w:rsidR="00B578A9">
        <w:rPr>
          <w:rFonts w:ascii="Arial" w:hAnsi="Arial" w:cs="Arial"/>
          <w:sz w:val="26"/>
          <w:szCs w:val="26"/>
        </w:rPr>
        <w:t xml:space="preserve">overleaf </w:t>
      </w:r>
      <w:r>
        <w:rPr>
          <w:rFonts w:ascii="Arial" w:hAnsi="Arial" w:cs="Arial"/>
          <w:sz w:val="26"/>
          <w:szCs w:val="26"/>
        </w:rPr>
        <w:t xml:space="preserve">attempts to show the potential </w:t>
      </w:r>
      <w:r w:rsidR="007C7943">
        <w:rPr>
          <w:rFonts w:ascii="Arial" w:hAnsi="Arial" w:cs="Arial"/>
          <w:sz w:val="26"/>
          <w:szCs w:val="26"/>
        </w:rPr>
        <w:t xml:space="preserve">scale of the </w:t>
      </w:r>
      <w:r>
        <w:rPr>
          <w:rFonts w:ascii="Arial" w:hAnsi="Arial" w:cs="Arial"/>
          <w:sz w:val="26"/>
          <w:szCs w:val="26"/>
        </w:rPr>
        <w:t>impact.</w:t>
      </w:r>
      <w:r w:rsidR="00B578A9">
        <w:rPr>
          <w:rFonts w:ascii="Arial" w:hAnsi="Arial" w:cs="Arial"/>
          <w:sz w:val="26"/>
          <w:szCs w:val="26"/>
        </w:rPr>
        <w:br w:type="page"/>
      </w:r>
    </w:p>
    <w:tbl>
      <w:tblPr>
        <w:tblStyle w:val="TableGrid"/>
        <w:tblW w:w="7409" w:type="dxa"/>
        <w:tblInd w:w="279" w:type="dxa"/>
        <w:tblLook w:val="04A0" w:firstRow="1" w:lastRow="0" w:firstColumn="1" w:lastColumn="0" w:noHBand="0" w:noVBand="1"/>
      </w:tblPr>
      <w:tblGrid>
        <w:gridCol w:w="3521"/>
        <w:gridCol w:w="1195"/>
        <w:gridCol w:w="235"/>
        <w:gridCol w:w="1263"/>
        <w:gridCol w:w="1195"/>
      </w:tblGrid>
      <w:tr w:rsidR="00EA3790" w:rsidTr="00A675D8">
        <w:tc>
          <w:tcPr>
            <w:tcW w:w="3606" w:type="dxa"/>
          </w:tcPr>
          <w:p w:rsidRPr="00B578A9" w:rsidR="00EA3790" w:rsidP="00BC3352" w:rsidRDefault="00EA3790">
            <w:pPr>
              <w:rPr>
                <w:rFonts w:ascii="Arial" w:hAnsi="Arial" w:cs="Arial"/>
                <w:sz w:val="22"/>
              </w:rPr>
            </w:pPr>
          </w:p>
        </w:tc>
        <w:tc>
          <w:tcPr>
            <w:tcW w:w="1195" w:type="dxa"/>
          </w:tcPr>
          <w:p w:rsidRPr="00B578A9" w:rsidR="00EA3790" w:rsidP="00B578A9" w:rsidRDefault="00EA3790">
            <w:pPr>
              <w:jc w:val="right"/>
              <w:rPr>
                <w:rFonts w:ascii="Arial" w:hAnsi="Arial" w:cs="Arial"/>
                <w:sz w:val="22"/>
              </w:rPr>
            </w:pPr>
            <w:r w:rsidRPr="00B578A9">
              <w:rPr>
                <w:rFonts w:ascii="Arial" w:hAnsi="Arial" w:cs="Arial"/>
                <w:sz w:val="22"/>
              </w:rPr>
              <w:t>Prim</w:t>
            </w:r>
          </w:p>
        </w:tc>
        <w:tc>
          <w:tcPr>
            <w:tcW w:w="235" w:type="dxa"/>
            <w:shd w:val="clear" w:color="auto" w:fill="7F7F7F" w:themeFill="text1" w:themeFillTint="80"/>
          </w:tcPr>
          <w:p w:rsidRPr="00B578A9" w:rsidR="00EA3790" w:rsidP="00B578A9" w:rsidRDefault="00EA3790">
            <w:pPr>
              <w:jc w:val="right"/>
              <w:rPr>
                <w:rFonts w:ascii="Arial" w:hAnsi="Arial" w:cs="Arial"/>
                <w:sz w:val="22"/>
              </w:rPr>
            </w:pPr>
          </w:p>
        </w:tc>
        <w:tc>
          <w:tcPr>
            <w:tcW w:w="1263" w:type="dxa"/>
          </w:tcPr>
          <w:p w:rsidRPr="00B578A9" w:rsidR="00EA3790" w:rsidP="00B578A9" w:rsidRDefault="00EA3790">
            <w:pPr>
              <w:jc w:val="right"/>
              <w:rPr>
                <w:rFonts w:ascii="Arial" w:hAnsi="Arial" w:cs="Arial"/>
                <w:sz w:val="22"/>
              </w:rPr>
            </w:pPr>
            <w:r w:rsidRPr="00B578A9">
              <w:rPr>
                <w:rFonts w:ascii="Arial" w:hAnsi="Arial" w:cs="Arial"/>
                <w:sz w:val="22"/>
              </w:rPr>
              <w:t>Sec</w:t>
            </w:r>
          </w:p>
        </w:tc>
        <w:tc>
          <w:tcPr>
            <w:tcW w:w="1110" w:type="dxa"/>
          </w:tcPr>
          <w:p w:rsidRPr="00B578A9" w:rsidR="00EA3790" w:rsidP="00B578A9" w:rsidRDefault="00EA3790">
            <w:pPr>
              <w:jc w:val="right"/>
              <w:rPr>
                <w:rFonts w:ascii="Arial" w:hAnsi="Arial" w:cs="Arial"/>
                <w:sz w:val="22"/>
              </w:rPr>
            </w:pPr>
            <w:r w:rsidRPr="00B578A9">
              <w:rPr>
                <w:rFonts w:ascii="Arial" w:hAnsi="Arial" w:cs="Arial"/>
                <w:sz w:val="22"/>
              </w:rPr>
              <w:t>Sec</w:t>
            </w:r>
          </w:p>
        </w:tc>
      </w:tr>
      <w:tr w:rsidR="00EA3790" w:rsidTr="00A675D8">
        <w:tc>
          <w:tcPr>
            <w:tcW w:w="3606" w:type="dxa"/>
          </w:tcPr>
          <w:p w:rsidRPr="00B578A9" w:rsidR="00EA3790" w:rsidP="00B578A9" w:rsidRDefault="00A675D8">
            <w:pPr>
              <w:rPr>
                <w:rFonts w:ascii="Arial" w:hAnsi="Arial" w:cs="Arial"/>
                <w:sz w:val="22"/>
              </w:rPr>
            </w:pPr>
            <w:r w:rsidRPr="00B578A9">
              <w:rPr>
                <w:rFonts w:ascii="Arial" w:hAnsi="Arial" w:cs="Arial"/>
                <w:sz w:val="22"/>
              </w:rPr>
              <w:t>Income:</w:t>
            </w:r>
          </w:p>
        </w:tc>
        <w:tc>
          <w:tcPr>
            <w:tcW w:w="1195" w:type="dxa"/>
          </w:tcPr>
          <w:p w:rsidRPr="00B578A9" w:rsidR="00EA3790" w:rsidP="00B578A9" w:rsidRDefault="00EA3790">
            <w:pPr>
              <w:jc w:val="right"/>
              <w:rPr>
                <w:rFonts w:ascii="Arial" w:hAnsi="Arial" w:cs="Arial"/>
                <w:sz w:val="22"/>
              </w:rPr>
            </w:pPr>
            <w:r w:rsidRPr="00B578A9">
              <w:rPr>
                <w:rFonts w:ascii="Arial" w:hAnsi="Arial" w:cs="Arial"/>
                <w:sz w:val="22"/>
              </w:rPr>
              <w:t>KS1/2</w:t>
            </w:r>
          </w:p>
        </w:tc>
        <w:tc>
          <w:tcPr>
            <w:tcW w:w="235" w:type="dxa"/>
            <w:shd w:val="clear" w:color="auto" w:fill="7F7F7F" w:themeFill="text1" w:themeFillTint="80"/>
          </w:tcPr>
          <w:p w:rsidRPr="00B578A9" w:rsidR="00EA3790" w:rsidP="00B578A9" w:rsidRDefault="00EA3790">
            <w:pPr>
              <w:jc w:val="right"/>
              <w:rPr>
                <w:rFonts w:ascii="Arial" w:hAnsi="Arial" w:cs="Arial"/>
                <w:sz w:val="22"/>
              </w:rPr>
            </w:pPr>
          </w:p>
        </w:tc>
        <w:tc>
          <w:tcPr>
            <w:tcW w:w="1263" w:type="dxa"/>
          </w:tcPr>
          <w:p w:rsidRPr="00B578A9" w:rsidR="00EA3790" w:rsidP="00B578A9" w:rsidRDefault="00EA3790">
            <w:pPr>
              <w:jc w:val="right"/>
              <w:rPr>
                <w:rFonts w:ascii="Arial" w:hAnsi="Arial" w:cs="Arial"/>
                <w:sz w:val="22"/>
              </w:rPr>
            </w:pPr>
            <w:r w:rsidRPr="00B578A9">
              <w:rPr>
                <w:rFonts w:ascii="Arial" w:hAnsi="Arial" w:cs="Arial"/>
                <w:sz w:val="22"/>
              </w:rPr>
              <w:t>KS3</w:t>
            </w:r>
          </w:p>
        </w:tc>
        <w:tc>
          <w:tcPr>
            <w:tcW w:w="1110" w:type="dxa"/>
          </w:tcPr>
          <w:p w:rsidRPr="00B578A9" w:rsidR="00EA3790" w:rsidP="00B578A9" w:rsidRDefault="00EA3790">
            <w:pPr>
              <w:jc w:val="right"/>
              <w:rPr>
                <w:rFonts w:ascii="Arial" w:hAnsi="Arial" w:cs="Arial"/>
                <w:sz w:val="22"/>
              </w:rPr>
            </w:pPr>
            <w:r w:rsidRPr="00B578A9">
              <w:rPr>
                <w:rFonts w:ascii="Arial" w:hAnsi="Arial" w:cs="Arial"/>
                <w:sz w:val="22"/>
              </w:rPr>
              <w:t>KS4</w:t>
            </w:r>
          </w:p>
        </w:tc>
      </w:tr>
      <w:tr w:rsidR="00EA3790" w:rsidTr="00A675D8">
        <w:tc>
          <w:tcPr>
            <w:tcW w:w="3606" w:type="dxa"/>
          </w:tcPr>
          <w:p w:rsidRPr="00B578A9" w:rsidR="00EA3790" w:rsidP="00B578A9" w:rsidRDefault="00E2301B">
            <w:pPr>
              <w:ind w:right="-108"/>
              <w:rPr>
                <w:rFonts w:ascii="Arial" w:hAnsi="Arial" w:cs="Arial"/>
                <w:sz w:val="22"/>
              </w:rPr>
            </w:pPr>
            <w:r>
              <w:rPr>
                <w:rFonts w:ascii="Arial" w:hAnsi="Arial" w:cs="Arial"/>
                <w:sz w:val="22"/>
              </w:rPr>
              <w:t xml:space="preserve">DSG </w:t>
            </w:r>
            <w:r w:rsidRPr="00B578A9" w:rsidR="00EA3790">
              <w:rPr>
                <w:rFonts w:ascii="Arial" w:hAnsi="Arial" w:cs="Arial"/>
                <w:sz w:val="22"/>
              </w:rPr>
              <w:t>Unit of Funding (PUF/SUF)</w:t>
            </w:r>
          </w:p>
        </w:tc>
        <w:tc>
          <w:tcPr>
            <w:tcW w:w="1195" w:type="dxa"/>
            <w:vAlign w:val="center"/>
          </w:tcPr>
          <w:p w:rsidRPr="00B578A9" w:rsidR="00EA3790" w:rsidP="00B578A9" w:rsidRDefault="00A675D8">
            <w:pPr>
              <w:jc w:val="right"/>
              <w:rPr>
                <w:rFonts w:ascii="Arial" w:hAnsi="Arial" w:cs="Arial"/>
                <w:bCs/>
                <w:color w:val="000000"/>
                <w:sz w:val="22"/>
              </w:rPr>
            </w:pPr>
            <w:r>
              <w:rPr>
                <w:rFonts w:ascii="Arial" w:hAnsi="Arial" w:cs="Arial"/>
                <w:bCs/>
                <w:color w:val="000000"/>
                <w:sz w:val="22"/>
              </w:rPr>
              <w:t>£</w:t>
            </w:r>
            <w:r w:rsidRPr="00B578A9" w:rsidR="00EA3790">
              <w:rPr>
                <w:rFonts w:ascii="Arial" w:hAnsi="Arial" w:cs="Arial"/>
                <w:bCs/>
                <w:color w:val="000000"/>
                <w:sz w:val="22"/>
              </w:rPr>
              <w:t>3,971.40</w:t>
            </w:r>
          </w:p>
        </w:tc>
        <w:tc>
          <w:tcPr>
            <w:tcW w:w="235" w:type="dxa"/>
            <w:shd w:val="clear" w:color="auto" w:fill="7F7F7F" w:themeFill="text1" w:themeFillTint="80"/>
          </w:tcPr>
          <w:p w:rsidRPr="00B578A9" w:rsidR="00EA3790" w:rsidP="00B578A9" w:rsidRDefault="00EA3790">
            <w:pPr>
              <w:jc w:val="right"/>
              <w:rPr>
                <w:rFonts w:ascii="Arial" w:hAnsi="Arial" w:cs="Arial"/>
                <w:bCs/>
                <w:color w:val="000000"/>
                <w:sz w:val="22"/>
              </w:rPr>
            </w:pPr>
          </w:p>
        </w:tc>
        <w:tc>
          <w:tcPr>
            <w:tcW w:w="1263" w:type="dxa"/>
            <w:vAlign w:val="center"/>
          </w:tcPr>
          <w:p w:rsidRPr="00B578A9" w:rsidR="00EA3790" w:rsidP="00B578A9" w:rsidRDefault="00A675D8">
            <w:pPr>
              <w:jc w:val="right"/>
              <w:rPr>
                <w:rFonts w:ascii="Arial" w:hAnsi="Arial" w:cs="Arial"/>
                <w:bCs/>
                <w:color w:val="000000"/>
                <w:sz w:val="22"/>
              </w:rPr>
            </w:pPr>
            <w:r>
              <w:rPr>
                <w:rFonts w:ascii="Arial" w:hAnsi="Arial" w:cs="Arial"/>
                <w:bCs/>
                <w:color w:val="000000"/>
                <w:sz w:val="22"/>
              </w:rPr>
              <w:t>£</w:t>
            </w:r>
            <w:r w:rsidRPr="00B578A9" w:rsidR="00EA3790">
              <w:rPr>
                <w:rFonts w:ascii="Arial" w:hAnsi="Arial" w:cs="Arial"/>
                <w:bCs/>
                <w:color w:val="000000"/>
                <w:sz w:val="22"/>
              </w:rPr>
              <w:t>5,002.23</w:t>
            </w:r>
          </w:p>
        </w:tc>
        <w:tc>
          <w:tcPr>
            <w:tcW w:w="1110" w:type="dxa"/>
            <w:vAlign w:val="center"/>
          </w:tcPr>
          <w:p w:rsidRPr="00B578A9" w:rsidR="00EA3790" w:rsidP="00B578A9" w:rsidRDefault="00A675D8">
            <w:pPr>
              <w:jc w:val="right"/>
              <w:rPr>
                <w:rFonts w:ascii="Arial" w:hAnsi="Arial" w:cs="Arial"/>
                <w:bCs/>
                <w:color w:val="000000"/>
                <w:sz w:val="22"/>
              </w:rPr>
            </w:pPr>
            <w:r>
              <w:rPr>
                <w:rFonts w:ascii="Arial" w:hAnsi="Arial" w:cs="Arial"/>
                <w:bCs/>
                <w:color w:val="000000"/>
                <w:sz w:val="22"/>
              </w:rPr>
              <w:t>£</w:t>
            </w:r>
            <w:r w:rsidRPr="00B578A9" w:rsidR="00EA3790">
              <w:rPr>
                <w:rFonts w:ascii="Arial" w:hAnsi="Arial" w:cs="Arial"/>
                <w:bCs/>
                <w:color w:val="000000"/>
                <w:sz w:val="22"/>
              </w:rPr>
              <w:t>5,002.23</w:t>
            </w:r>
          </w:p>
        </w:tc>
      </w:tr>
      <w:tr w:rsidR="00EA3790" w:rsidTr="00A675D8">
        <w:trPr>
          <w:trHeight w:val="113" w:hRule="exact"/>
        </w:trPr>
        <w:tc>
          <w:tcPr>
            <w:tcW w:w="3606" w:type="dxa"/>
            <w:shd w:val="clear" w:color="auto" w:fill="7F7F7F" w:themeFill="text1" w:themeFillTint="80"/>
          </w:tcPr>
          <w:p w:rsidRPr="00B578A9" w:rsidR="00EA3790" w:rsidP="00BC3352" w:rsidRDefault="00EA3790">
            <w:pPr>
              <w:rPr>
                <w:rFonts w:ascii="Arial" w:hAnsi="Arial" w:cs="Arial"/>
                <w:sz w:val="22"/>
              </w:rPr>
            </w:pPr>
          </w:p>
        </w:tc>
        <w:tc>
          <w:tcPr>
            <w:tcW w:w="1195" w:type="dxa"/>
            <w:shd w:val="clear" w:color="auto" w:fill="7F7F7F" w:themeFill="text1" w:themeFillTint="80"/>
          </w:tcPr>
          <w:p w:rsidRPr="00B578A9" w:rsidR="00EA3790" w:rsidP="00B578A9" w:rsidRDefault="00EA3790">
            <w:pPr>
              <w:jc w:val="right"/>
              <w:rPr>
                <w:rFonts w:ascii="Arial" w:hAnsi="Arial" w:cs="Arial"/>
                <w:sz w:val="22"/>
              </w:rPr>
            </w:pPr>
          </w:p>
        </w:tc>
        <w:tc>
          <w:tcPr>
            <w:tcW w:w="235" w:type="dxa"/>
            <w:shd w:val="clear" w:color="auto" w:fill="7F7F7F" w:themeFill="text1" w:themeFillTint="80"/>
          </w:tcPr>
          <w:p w:rsidRPr="00B578A9" w:rsidR="00EA3790" w:rsidP="00B578A9" w:rsidRDefault="00EA3790">
            <w:pPr>
              <w:jc w:val="right"/>
              <w:rPr>
                <w:rFonts w:ascii="Arial" w:hAnsi="Arial" w:cs="Arial"/>
                <w:sz w:val="22"/>
              </w:rPr>
            </w:pPr>
          </w:p>
        </w:tc>
        <w:tc>
          <w:tcPr>
            <w:tcW w:w="1263" w:type="dxa"/>
            <w:shd w:val="clear" w:color="auto" w:fill="7F7F7F" w:themeFill="text1" w:themeFillTint="80"/>
          </w:tcPr>
          <w:p w:rsidRPr="00B578A9" w:rsidR="00EA3790" w:rsidP="00B578A9" w:rsidRDefault="00EA3790">
            <w:pPr>
              <w:jc w:val="right"/>
              <w:rPr>
                <w:rFonts w:ascii="Arial" w:hAnsi="Arial" w:cs="Arial"/>
                <w:sz w:val="22"/>
              </w:rPr>
            </w:pPr>
          </w:p>
        </w:tc>
        <w:tc>
          <w:tcPr>
            <w:tcW w:w="1110" w:type="dxa"/>
            <w:shd w:val="clear" w:color="auto" w:fill="7F7F7F" w:themeFill="text1" w:themeFillTint="80"/>
          </w:tcPr>
          <w:p w:rsidRPr="00B578A9" w:rsidR="00EA3790" w:rsidP="00B578A9" w:rsidRDefault="00EA3790">
            <w:pPr>
              <w:jc w:val="right"/>
              <w:rPr>
                <w:rFonts w:ascii="Arial" w:hAnsi="Arial" w:cs="Arial"/>
                <w:sz w:val="22"/>
              </w:rPr>
            </w:pPr>
          </w:p>
        </w:tc>
      </w:tr>
      <w:tr w:rsidR="00EA3790" w:rsidTr="00A675D8">
        <w:tc>
          <w:tcPr>
            <w:tcW w:w="3606" w:type="dxa"/>
          </w:tcPr>
          <w:p w:rsidRPr="00B578A9" w:rsidR="00EA3790" w:rsidP="003A6DDA" w:rsidRDefault="003A6DDA">
            <w:pPr>
              <w:rPr>
                <w:rFonts w:ascii="Arial" w:hAnsi="Arial" w:cs="Arial"/>
                <w:sz w:val="22"/>
              </w:rPr>
            </w:pPr>
            <w:r>
              <w:rPr>
                <w:rFonts w:ascii="Arial" w:hAnsi="Arial" w:cs="Arial"/>
                <w:sz w:val="22"/>
              </w:rPr>
              <w:t xml:space="preserve">Funding </w:t>
            </w:r>
            <w:r w:rsidR="00EA3790">
              <w:rPr>
                <w:rFonts w:ascii="Arial" w:hAnsi="Arial" w:cs="Arial"/>
                <w:sz w:val="22"/>
              </w:rPr>
              <w:t>– per pupil:</w:t>
            </w:r>
          </w:p>
        </w:tc>
        <w:tc>
          <w:tcPr>
            <w:tcW w:w="1195" w:type="dxa"/>
          </w:tcPr>
          <w:p w:rsidRPr="00B578A9" w:rsidR="00EA3790" w:rsidP="00DB210A" w:rsidRDefault="00EA3790">
            <w:pPr>
              <w:jc w:val="right"/>
              <w:rPr>
                <w:rFonts w:ascii="Arial" w:hAnsi="Arial" w:cs="Arial"/>
                <w:sz w:val="22"/>
              </w:rPr>
            </w:pPr>
          </w:p>
        </w:tc>
        <w:tc>
          <w:tcPr>
            <w:tcW w:w="235" w:type="dxa"/>
            <w:shd w:val="clear" w:color="auto" w:fill="7F7F7F" w:themeFill="text1" w:themeFillTint="80"/>
          </w:tcPr>
          <w:p w:rsidR="00EA3790" w:rsidP="00DB210A" w:rsidRDefault="00EA3790">
            <w:pPr>
              <w:jc w:val="right"/>
              <w:rPr>
                <w:rFonts w:ascii="Arial" w:hAnsi="Arial" w:cs="Arial"/>
                <w:sz w:val="22"/>
              </w:rPr>
            </w:pPr>
          </w:p>
        </w:tc>
        <w:tc>
          <w:tcPr>
            <w:tcW w:w="1263" w:type="dxa"/>
          </w:tcPr>
          <w:p w:rsidRPr="00B578A9" w:rsidR="00EA3790" w:rsidP="00DB210A" w:rsidRDefault="00EA3790">
            <w:pPr>
              <w:jc w:val="right"/>
              <w:rPr>
                <w:rFonts w:ascii="Arial" w:hAnsi="Arial" w:cs="Arial"/>
                <w:sz w:val="22"/>
              </w:rPr>
            </w:pPr>
          </w:p>
        </w:tc>
        <w:tc>
          <w:tcPr>
            <w:tcW w:w="1110" w:type="dxa"/>
          </w:tcPr>
          <w:p w:rsidRPr="00B578A9" w:rsidR="00EA3790" w:rsidP="00DB210A" w:rsidRDefault="00EA3790">
            <w:pPr>
              <w:jc w:val="right"/>
              <w:rPr>
                <w:rFonts w:ascii="Arial" w:hAnsi="Arial" w:cs="Arial"/>
                <w:sz w:val="22"/>
              </w:rPr>
            </w:pPr>
          </w:p>
        </w:tc>
      </w:tr>
      <w:tr w:rsidR="00EA3790" w:rsidTr="00A675D8">
        <w:tc>
          <w:tcPr>
            <w:tcW w:w="3606" w:type="dxa"/>
          </w:tcPr>
          <w:p w:rsidRPr="00B578A9" w:rsidR="00EA3790" w:rsidP="00EA3790" w:rsidRDefault="00EA3790">
            <w:pPr>
              <w:rPr>
                <w:rFonts w:ascii="Arial" w:hAnsi="Arial" w:cs="Arial"/>
                <w:sz w:val="22"/>
              </w:rPr>
            </w:pPr>
            <w:r w:rsidRPr="00B578A9">
              <w:rPr>
                <w:rFonts w:ascii="Arial" w:hAnsi="Arial" w:cs="Arial"/>
                <w:sz w:val="22"/>
              </w:rPr>
              <w:t>AWPU</w:t>
            </w:r>
          </w:p>
        </w:tc>
        <w:tc>
          <w:tcPr>
            <w:tcW w:w="1195" w:type="dxa"/>
          </w:tcPr>
          <w:p w:rsidRPr="00B578A9" w:rsidR="00EA3790" w:rsidP="00DB210A" w:rsidRDefault="00A675D8">
            <w:pPr>
              <w:jc w:val="right"/>
              <w:rPr>
                <w:rFonts w:ascii="Arial" w:hAnsi="Arial" w:cs="Arial"/>
                <w:sz w:val="22"/>
              </w:rPr>
            </w:pPr>
            <w:r>
              <w:rPr>
                <w:rFonts w:ascii="Arial" w:hAnsi="Arial" w:cs="Arial"/>
                <w:sz w:val="22"/>
              </w:rPr>
              <w:t>£</w:t>
            </w:r>
            <w:r w:rsidRPr="00B578A9" w:rsidR="00EA3790">
              <w:rPr>
                <w:rFonts w:ascii="Arial" w:hAnsi="Arial" w:cs="Arial"/>
                <w:sz w:val="22"/>
              </w:rPr>
              <w:t>2,746.99</w:t>
            </w:r>
          </w:p>
        </w:tc>
        <w:tc>
          <w:tcPr>
            <w:tcW w:w="235" w:type="dxa"/>
            <w:shd w:val="clear" w:color="auto" w:fill="7F7F7F" w:themeFill="text1" w:themeFillTint="80"/>
          </w:tcPr>
          <w:p w:rsidRPr="00B578A9" w:rsidR="00EA3790" w:rsidP="00DB210A" w:rsidRDefault="00EA3790">
            <w:pPr>
              <w:jc w:val="right"/>
              <w:rPr>
                <w:rFonts w:ascii="Arial" w:hAnsi="Arial" w:cs="Arial"/>
                <w:sz w:val="22"/>
              </w:rPr>
            </w:pPr>
          </w:p>
        </w:tc>
        <w:tc>
          <w:tcPr>
            <w:tcW w:w="1263" w:type="dxa"/>
          </w:tcPr>
          <w:p w:rsidRPr="00B578A9" w:rsidR="00EA3790" w:rsidP="00DB210A" w:rsidRDefault="00A675D8">
            <w:pPr>
              <w:jc w:val="right"/>
              <w:rPr>
                <w:rFonts w:ascii="Arial" w:hAnsi="Arial" w:cs="Arial"/>
                <w:sz w:val="22"/>
              </w:rPr>
            </w:pPr>
            <w:r>
              <w:rPr>
                <w:rFonts w:ascii="Arial" w:hAnsi="Arial" w:cs="Arial"/>
                <w:sz w:val="22"/>
              </w:rPr>
              <w:t>£</w:t>
            </w:r>
            <w:r w:rsidRPr="00B578A9" w:rsidR="00EA3790">
              <w:rPr>
                <w:rFonts w:ascii="Arial" w:hAnsi="Arial" w:cs="Arial"/>
                <w:sz w:val="22"/>
              </w:rPr>
              <w:t>3,862.65</w:t>
            </w:r>
          </w:p>
        </w:tc>
        <w:tc>
          <w:tcPr>
            <w:tcW w:w="1110" w:type="dxa"/>
          </w:tcPr>
          <w:p w:rsidRPr="00B578A9" w:rsidR="00EA3790" w:rsidP="00DB210A" w:rsidRDefault="00A675D8">
            <w:pPr>
              <w:jc w:val="right"/>
              <w:rPr>
                <w:rFonts w:ascii="Arial" w:hAnsi="Arial" w:cs="Arial"/>
                <w:sz w:val="22"/>
              </w:rPr>
            </w:pPr>
            <w:r>
              <w:rPr>
                <w:rFonts w:ascii="Arial" w:hAnsi="Arial" w:cs="Arial"/>
                <w:sz w:val="22"/>
              </w:rPr>
              <w:t>£</w:t>
            </w:r>
            <w:r w:rsidRPr="00B578A9" w:rsidR="00EA3790">
              <w:rPr>
                <w:rFonts w:ascii="Arial" w:hAnsi="Arial" w:cs="Arial"/>
                <w:sz w:val="22"/>
              </w:rPr>
              <w:t>4,385.51</w:t>
            </w:r>
          </w:p>
        </w:tc>
      </w:tr>
      <w:tr w:rsidR="00EA3790" w:rsidTr="00A675D8">
        <w:tc>
          <w:tcPr>
            <w:tcW w:w="3606" w:type="dxa"/>
          </w:tcPr>
          <w:p w:rsidRPr="00B578A9" w:rsidR="00EA3790" w:rsidP="00EA3790" w:rsidRDefault="00EA3790">
            <w:pPr>
              <w:rPr>
                <w:rFonts w:ascii="Arial" w:hAnsi="Arial" w:cs="Arial"/>
                <w:sz w:val="22"/>
              </w:rPr>
            </w:pPr>
            <w:r>
              <w:rPr>
                <w:rFonts w:ascii="Arial" w:hAnsi="Arial" w:cs="Arial"/>
                <w:sz w:val="22"/>
              </w:rPr>
              <w:t xml:space="preserve">Deprivation - </w:t>
            </w:r>
            <w:r w:rsidRPr="00B578A9">
              <w:rPr>
                <w:rFonts w:ascii="Arial" w:hAnsi="Arial" w:cs="Arial"/>
                <w:sz w:val="22"/>
              </w:rPr>
              <w:t>Current FSM</w:t>
            </w:r>
            <w:r>
              <w:rPr>
                <w:rFonts w:ascii="Arial" w:hAnsi="Arial" w:cs="Arial"/>
                <w:sz w:val="22"/>
              </w:rPr>
              <w:t xml:space="preserve"> </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56.88</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54.54</w:t>
            </w:r>
          </w:p>
        </w:tc>
        <w:tc>
          <w:tcPr>
            <w:tcW w:w="1110"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54.54</w:t>
            </w:r>
          </w:p>
        </w:tc>
      </w:tr>
      <w:tr w:rsidR="00EA3790" w:rsidTr="00A675D8">
        <w:tc>
          <w:tcPr>
            <w:tcW w:w="3606" w:type="dxa"/>
          </w:tcPr>
          <w:p w:rsidRPr="00B578A9" w:rsidR="00EA3790" w:rsidP="00EA3790" w:rsidRDefault="00EA3790">
            <w:pPr>
              <w:rPr>
                <w:rFonts w:ascii="Arial" w:hAnsi="Arial" w:cs="Arial"/>
                <w:sz w:val="22"/>
              </w:rPr>
            </w:pPr>
            <w:r>
              <w:rPr>
                <w:rFonts w:ascii="Arial" w:hAnsi="Arial" w:cs="Arial"/>
                <w:sz w:val="22"/>
              </w:rPr>
              <w:t>Deprivation - Ever 6 FSM</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123.99</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192.25</w:t>
            </w:r>
          </w:p>
        </w:tc>
        <w:tc>
          <w:tcPr>
            <w:tcW w:w="1110"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192.25</w:t>
            </w:r>
          </w:p>
        </w:tc>
      </w:tr>
      <w:tr w:rsidR="00EA3790" w:rsidTr="00A675D8">
        <w:tc>
          <w:tcPr>
            <w:tcW w:w="3606" w:type="dxa"/>
          </w:tcPr>
          <w:p w:rsidRPr="00B578A9" w:rsidR="00EA3790" w:rsidP="00EA3790" w:rsidRDefault="00EA3790">
            <w:pPr>
              <w:rPr>
                <w:rFonts w:ascii="Arial" w:hAnsi="Arial" w:cs="Arial"/>
                <w:sz w:val="22"/>
              </w:rPr>
            </w:pPr>
            <w:r>
              <w:rPr>
                <w:rFonts w:ascii="Arial" w:hAnsi="Arial" w:cs="Arial"/>
                <w:sz w:val="22"/>
              </w:rPr>
              <w:t>Deprivation - IDACI</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112.78</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152.81</w:t>
            </w:r>
          </w:p>
        </w:tc>
        <w:tc>
          <w:tcPr>
            <w:tcW w:w="1110"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152.81</w:t>
            </w:r>
          </w:p>
        </w:tc>
      </w:tr>
      <w:tr w:rsidR="00EA3790" w:rsidTr="00A675D8">
        <w:tc>
          <w:tcPr>
            <w:tcW w:w="3606" w:type="dxa"/>
          </w:tcPr>
          <w:p w:rsidRPr="00B578A9" w:rsidR="00EA3790" w:rsidP="00EA3790" w:rsidRDefault="00EA3790">
            <w:pPr>
              <w:rPr>
                <w:rFonts w:ascii="Arial" w:hAnsi="Arial" w:cs="Arial"/>
                <w:sz w:val="22"/>
              </w:rPr>
            </w:pPr>
            <w:r>
              <w:rPr>
                <w:rFonts w:ascii="Arial" w:hAnsi="Arial" w:cs="Arial"/>
                <w:sz w:val="22"/>
              </w:rPr>
              <w:t>Low Prior Attainment</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191.68</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311.33</w:t>
            </w:r>
          </w:p>
        </w:tc>
        <w:tc>
          <w:tcPr>
            <w:tcW w:w="1110"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311.33</w:t>
            </w:r>
          </w:p>
        </w:tc>
      </w:tr>
      <w:tr w:rsidR="00EA3790" w:rsidTr="00A675D8">
        <w:tc>
          <w:tcPr>
            <w:tcW w:w="3606" w:type="dxa"/>
          </w:tcPr>
          <w:p w:rsidRPr="00B578A9" w:rsidR="00EA3790" w:rsidP="00EA3790" w:rsidRDefault="00EA3790">
            <w:pPr>
              <w:rPr>
                <w:rFonts w:ascii="Arial" w:hAnsi="Arial" w:cs="Arial"/>
                <w:sz w:val="22"/>
              </w:rPr>
            </w:pPr>
            <w:r>
              <w:rPr>
                <w:rFonts w:ascii="Arial" w:hAnsi="Arial" w:cs="Arial"/>
                <w:sz w:val="22"/>
              </w:rPr>
              <w:t>EAL</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9.86</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5.27</w:t>
            </w:r>
          </w:p>
        </w:tc>
        <w:tc>
          <w:tcPr>
            <w:tcW w:w="1110"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5.27</w:t>
            </w:r>
          </w:p>
        </w:tc>
      </w:tr>
      <w:tr w:rsidR="00EA3790" w:rsidTr="00A675D8">
        <w:tc>
          <w:tcPr>
            <w:tcW w:w="3606" w:type="dxa"/>
          </w:tcPr>
          <w:p w:rsidRPr="00B578A9" w:rsidR="00EA3790" w:rsidP="00EA3790" w:rsidRDefault="00EA3790">
            <w:pPr>
              <w:rPr>
                <w:rFonts w:ascii="Arial" w:hAnsi="Arial" w:cs="Arial"/>
                <w:sz w:val="22"/>
              </w:rPr>
            </w:pPr>
          </w:p>
        </w:tc>
        <w:tc>
          <w:tcPr>
            <w:tcW w:w="1195" w:type="dxa"/>
          </w:tcPr>
          <w:p w:rsidRPr="00B578A9" w:rsidR="00EA3790" w:rsidP="00EA3790" w:rsidRDefault="00EA3790">
            <w:pPr>
              <w:jc w:val="right"/>
              <w:rPr>
                <w:rFonts w:ascii="Arial" w:hAnsi="Arial" w:cs="Arial"/>
                <w:sz w:val="22"/>
              </w:rPr>
            </w:pP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EA3790">
            <w:pPr>
              <w:jc w:val="right"/>
              <w:rPr>
                <w:rFonts w:ascii="Arial" w:hAnsi="Arial" w:cs="Arial"/>
                <w:sz w:val="22"/>
              </w:rPr>
            </w:pPr>
          </w:p>
        </w:tc>
        <w:tc>
          <w:tcPr>
            <w:tcW w:w="1110" w:type="dxa"/>
          </w:tcPr>
          <w:p w:rsidRPr="00B578A9" w:rsidR="00EA3790" w:rsidP="00EA3790" w:rsidRDefault="00EA3790">
            <w:pPr>
              <w:jc w:val="right"/>
              <w:rPr>
                <w:rFonts w:ascii="Arial" w:hAnsi="Arial" w:cs="Arial"/>
                <w:sz w:val="22"/>
              </w:rPr>
            </w:pPr>
          </w:p>
        </w:tc>
      </w:tr>
      <w:tr w:rsidR="00EA3790" w:rsidTr="00A675D8">
        <w:tc>
          <w:tcPr>
            <w:tcW w:w="3606" w:type="dxa"/>
          </w:tcPr>
          <w:p w:rsidRPr="00B578A9" w:rsidR="00EA3790" w:rsidP="003A6DDA" w:rsidRDefault="00EA3790">
            <w:pPr>
              <w:rPr>
                <w:rFonts w:ascii="Arial" w:hAnsi="Arial" w:cs="Arial"/>
                <w:sz w:val="22"/>
              </w:rPr>
            </w:pPr>
            <w:r>
              <w:rPr>
                <w:rFonts w:ascii="Arial" w:hAnsi="Arial" w:cs="Arial"/>
                <w:sz w:val="22"/>
              </w:rPr>
              <w:t>Total</w:t>
            </w:r>
            <w:r w:rsidR="007B5261">
              <w:rPr>
                <w:rFonts w:ascii="Arial" w:hAnsi="Arial" w:cs="Arial"/>
                <w:sz w:val="22"/>
              </w:rPr>
              <w:t xml:space="preserve"> </w:t>
            </w:r>
            <w:r w:rsidR="003A6DDA">
              <w:rPr>
                <w:rFonts w:ascii="Arial" w:hAnsi="Arial" w:cs="Arial"/>
                <w:sz w:val="22"/>
              </w:rPr>
              <w:t xml:space="preserve">funding </w:t>
            </w:r>
            <w:r w:rsidR="007B5261">
              <w:rPr>
                <w:rFonts w:ascii="Arial" w:hAnsi="Arial" w:cs="Arial"/>
                <w:sz w:val="22"/>
              </w:rPr>
              <w:t>per pupil</w:t>
            </w:r>
          </w:p>
        </w:tc>
        <w:tc>
          <w:tcPr>
            <w:tcW w:w="1195" w:type="dxa"/>
          </w:tcPr>
          <w:p w:rsidRPr="00B578A9" w:rsidR="00EA3790" w:rsidP="00EA3790" w:rsidRDefault="00A675D8">
            <w:pPr>
              <w:jc w:val="right"/>
              <w:rPr>
                <w:rFonts w:ascii="Arial" w:hAnsi="Arial" w:cs="Arial"/>
                <w:sz w:val="22"/>
              </w:rPr>
            </w:pPr>
            <w:r>
              <w:rPr>
                <w:rFonts w:ascii="Arial" w:hAnsi="Arial" w:cs="Arial"/>
                <w:sz w:val="22"/>
              </w:rPr>
              <w:t>£</w:t>
            </w:r>
            <w:r w:rsidR="00EA3790">
              <w:rPr>
                <w:rFonts w:ascii="Arial" w:hAnsi="Arial" w:cs="Arial"/>
                <w:sz w:val="22"/>
              </w:rPr>
              <w:t>3,242.18</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vAlign w:val="bottom"/>
          </w:tcPr>
          <w:p w:rsidRPr="00EA3790" w:rsidR="00EA3790" w:rsidP="00EA3790" w:rsidRDefault="00A675D8">
            <w:pPr>
              <w:jc w:val="right"/>
              <w:rPr>
                <w:rFonts w:ascii="Arial" w:hAnsi="Arial" w:cs="Arial"/>
                <w:sz w:val="22"/>
              </w:rPr>
            </w:pPr>
            <w:r>
              <w:rPr>
                <w:rFonts w:ascii="Arial" w:hAnsi="Arial" w:cs="Arial"/>
                <w:sz w:val="22"/>
              </w:rPr>
              <w:t>£</w:t>
            </w:r>
            <w:r w:rsidRPr="00EA3790" w:rsidR="00EA3790">
              <w:rPr>
                <w:rFonts w:ascii="Arial" w:hAnsi="Arial" w:cs="Arial"/>
                <w:sz w:val="22"/>
              </w:rPr>
              <w:t>4,578.85</w:t>
            </w:r>
          </w:p>
        </w:tc>
        <w:tc>
          <w:tcPr>
            <w:tcW w:w="1110" w:type="dxa"/>
            <w:vAlign w:val="bottom"/>
          </w:tcPr>
          <w:p w:rsidRPr="00EA3790" w:rsidR="00EA3790" w:rsidP="00EA3790" w:rsidRDefault="00A675D8">
            <w:pPr>
              <w:jc w:val="right"/>
              <w:rPr>
                <w:rFonts w:ascii="Arial" w:hAnsi="Arial" w:cs="Arial"/>
                <w:sz w:val="22"/>
              </w:rPr>
            </w:pPr>
            <w:r>
              <w:rPr>
                <w:rFonts w:ascii="Arial" w:hAnsi="Arial" w:cs="Arial"/>
                <w:sz w:val="22"/>
              </w:rPr>
              <w:t>£</w:t>
            </w:r>
            <w:r w:rsidRPr="00EA3790" w:rsidR="00EA3790">
              <w:rPr>
                <w:rFonts w:ascii="Arial" w:hAnsi="Arial" w:cs="Arial"/>
                <w:sz w:val="22"/>
              </w:rPr>
              <w:t>5,101.71</w:t>
            </w:r>
          </w:p>
        </w:tc>
      </w:tr>
      <w:tr w:rsidR="00E2301B" w:rsidTr="00A675D8">
        <w:tc>
          <w:tcPr>
            <w:tcW w:w="3606" w:type="dxa"/>
          </w:tcPr>
          <w:p w:rsidR="00E2301B" w:rsidP="00EA3790" w:rsidRDefault="00E2301B">
            <w:pPr>
              <w:rPr>
                <w:rFonts w:ascii="Arial" w:hAnsi="Arial" w:cs="Arial"/>
                <w:sz w:val="22"/>
              </w:rPr>
            </w:pPr>
          </w:p>
        </w:tc>
        <w:tc>
          <w:tcPr>
            <w:tcW w:w="1195" w:type="dxa"/>
          </w:tcPr>
          <w:p w:rsidR="00E2301B" w:rsidP="00EA3790" w:rsidRDefault="00E2301B">
            <w:pPr>
              <w:jc w:val="right"/>
              <w:rPr>
                <w:rFonts w:ascii="Arial" w:hAnsi="Arial" w:cs="Arial"/>
                <w:sz w:val="22"/>
              </w:rPr>
            </w:pPr>
          </w:p>
        </w:tc>
        <w:tc>
          <w:tcPr>
            <w:tcW w:w="235" w:type="dxa"/>
            <w:shd w:val="clear" w:color="auto" w:fill="7F7F7F" w:themeFill="text1" w:themeFillTint="80"/>
          </w:tcPr>
          <w:p w:rsidRPr="00B578A9" w:rsidR="00E2301B" w:rsidP="00EA3790" w:rsidRDefault="00E2301B">
            <w:pPr>
              <w:jc w:val="right"/>
              <w:rPr>
                <w:rFonts w:ascii="Arial" w:hAnsi="Arial" w:cs="Arial"/>
                <w:sz w:val="22"/>
              </w:rPr>
            </w:pPr>
          </w:p>
        </w:tc>
        <w:tc>
          <w:tcPr>
            <w:tcW w:w="1263" w:type="dxa"/>
          </w:tcPr>
          <w:p w:rsidR="00E2301B" w:rsidP="00EA3790" w:rsidRDefault="00E2301B">
            <w:pPr>
              <w:jc w:val="right"/>
              <w:rPr>
                <w:rFonts w:ascii="Arial" w:hAnsi="Arial" w:cs="Arial"/>
                <w:sz w:val="22"/>
              </w:rPr>
            </w:pPr>
          </w:p>
        </w:tc>
        <w:tc>
          <w:tcPr>
            <w:tcW w:w="1110" w:type="dxa"/>
          </w:tcPr>
          <w:p w:rsidR="00E2301B" w:rsidP="00EA3790" w:rsidRDefault="00E2301B">
            <w:pPr>
              <w:jc w:val="right"/>
              <w:rPr>
                <w:rFonts w:ascii="Arial" w:hAnsi="Arial" w:cs="Arial"/>
                <w:sz w:val="22"/>
              </w:rPr>
            </w:pPr>
          </w:p>
        </w:tc>
      </w:tr>
      <w:tr w:rsidR="00EA3790" w:rsidTr="00A675D8">
        <w:tc>
          <w:tcPr>
            <w:tcW w:w="3606" w:type="dxa"/>
          </w:tcPr>
          <w:p w:rsidR="00EA3790" w:rsidP="00EA3790" w:rsidRDefault="00EA3790">
            <w:pPr>
              <w:rPr>
                <w:rFonts w:ascii="Arial" w:hAnsi="Arial" w:cs="Arial"/>
                <w:sz w:val="22"/>
              </w:rPr>
            </w:pPr>
            <w:r>
              <w:rPr>
                <w:rFonts w:ascii="Arial" w:hAnsi="Arial" w:cs="Arial"/>
                <w:sz w:val="22"/>
              </w:rPr>
              <w:t>Marginal contribution per pupil</w:t>
            </w:r>
          </w:p>
        </w:tc>
        <w:tc>
          <w:tcPr>
            <w:tcW w:w="1195" w:type="dxa"/>
          </w:tcPr>
          <w:p w:rsidR="00EA3790" w:rsidP="00EA3790" w:rsidRDefault="00EA3790">
            <w:pPr>
              <w:jc w:val="right"/>
              <w:rPr>
                <w:rFonts w:ascii="Arial" w:hAnsi="Arial" w:cs="Arial"/>
                <w:sz w:val="22"/>
              </w:rPr>
            </w:pPr>
            <w:r>
              <w:rPr>
                <w:rFonts w:ascii="Arial" w:hAnsi="Arial" w:cs="Arial"/>
                <w:sz w:val="22"/>
              </w:rPr>
              <w:t>+</w:t>
            </w:r>
            <w:r w:rsidR="00A675D8">
              <w:rPr>
                <w:rFonts w:ascii="Arial" w:hAnsi="Arial" w:cs="Arial"/>
                <w:sz w:val="22"/>
              </w:rPr>
              <w:t>£</w:t>
            </w:r>
            <w:r>
              <w:rPr>
                <w:rFonts w:ascii="Arial" w:hAnsi="Arial" w:cs="Arial"/>
                <w:sz w:val="22"/>
              </w:rPr>
              <w:t>729.22</w:t>
            </w:r>
          </w:p>
        </w:tc>
        <w:tc>
          <w:tcPr>
            <w:tcW w:w="235" w:type="dxa"/>
            <w:shd w:val="clear" w:color="auto" w:fill="7F7F7F" w:themeFill="text1" w:themeFillTint="80"/>
          </w:tcPr>
          <w:p w:rsidRPr="00B578A9" w:rsidR="00EA3790" w:rsidP="00EA3790" w:rsidRDefault="00EA3790">
            <w:pPr>
              <w:jc w:val="right"/>
              <w:rPr>
                <w:rFonts w:ascii="Arial" w:hAnsi="Arial" w:cs="Arial"/>
                <w:sz w:val="22"/>
              </w:rPr>
            </w:pPr>
          </w:p>
        </w:tc>
        <w:tc>
          <w:tcPr>
            <w:tcW w:w="1263" w:type="dxa"/>
          </w:tcPr>
          <w:p w:rsidRPr="00B578A9" w:rsidR="00EA3790" w:rsidP="00EA3790" w:rsidRDefault="00EA3790">
            <w:pPr>
              <w:jc w:val="right"/>
              <w:rPr>
                <w:rFonts w:ascii="Arial" w:hAnsi="Arial" w:cs="Arial"/>
                <w:sz w:val="22"/>
              </w:rPr>
            </w:pPr>
            <w:r>
              <w:rPr>
                <w:rFonts w:ascii="Arial" w:hAnsi="Arial" w:cs="Arial"/>
                <w:sz w:val="22"/>
              </w:rPr>
              <w:t>+</w:t>
            </w:r>
            <w:r w:rsidR="00A675D8">
              <w:rPr>
                <w:rFonts w:ascii="Arial" w:hAnsi="Arial" w:cs="Arial"/>
                <w:sz w:val="22"/>
              </w:rPr>
              <w:t>£</w:t>
            </w:r>
            <w:r>
              <w:rPr>
                <w:rFonts w:ascii="Arial" w:hAnsi="Arial" w:cs="Arial"/>
                <w:sz w:val="22"/>
              </w:rPr>
              <w:t>423.38</w:t>
            </w:r>
          </w:p>
        </w:tc>
        <w:tc>
          <w:tcPr>
            <w:tcW w:w="1110" w:type="dxa"/>
          </w:tcPr>
          <w:p w:rsidRPr="00B578A9" w:rsidR="00EA3790" w:rsidP="00EA3790" w:rsidRDefault="00EA3790">
            <w:pPr>
              <w:jc w:val="right"/>
              <w:rPr>
                <w:rFonts w:ascii="Arial" w:hAnsi="Arial" w:cs="Arial"/>
                <w:sz w:val="22"/>
              </w:rPr>
            </w:pPr>
            <w:r>
              <w:rPr>
                <w:rFonts w:ascii="Arial" w:hAnsi="Arial" w:cs="Arial"/>
                <w:sz w:val="22"/>
              </w:rPr>
              <w:t>-</w:t>
            </w:r>
            <w:r w:rsidR="00A675D8">
              <w:rPr>
                <w:rFonts w:ascii="Arial" w:hAnsi="Arial" w:cs="Arial"/>
                <w:sz w:val="22"/>
              </w:rPr>
              <w:t>£</w:t>
            </w:r>
            <w:r>
              <w:rPr>
                <w:rFonts w:ascii="Arial" w:hAnsi="Arial" w:cs="Arial"/>
                <w:sz w:val="22"/>
              </w:rPr>
              <w:t>99.48</w:t>
            </w:r>
          </w:p>
        </w:tc>
      </w:tr>
      <w:tr w:rsidR="00E2301B" w:rsidTr="00A675D8">
        <w:tc>
          <w:tcPr>
            <w:tcW w:w="3606" w:type="dxa"/>
          </w:tcPr>
          <w:p w:rsidR="00E2301B" w:rsidP="00EA3790" w:rsidRDefault="00E2301B">
            <w:pPr>
              <w:rPr>
                <w:rFonts w:ascii="Arial" w:hAnsi="Arial" w:cs="Arial"/>
                <w:sz w:val="22"/>
              </w:rPr>
            </w:pPr>
            <w:r>
              <w:rPr>
                <w:rFonts w:ascii="Arial" w:hAnsi="Arial" w:cs="Arial"/>
                <w:sz w:val="22"/>
              </w:rPr>
              <w:t>Additional pupils</w:t>
            </w:r>
          </w:p>
        </w:tc>
        <w:tc>
          <w:tcPr>
            <w:tcW w:w="1195" w:type="dxa"/>
          </w:tcPr>
          <w:p w:rsidR="00E2301B" w:rsidP="00EA3790" w:rsidRDefault="00E2301B">
            <w:pPr>
              <w:jc w:val="right"/>
              <w:rPr>
                <w:rFonts w:ascii="Arial" w:hAnsi="Arial" w:cs="Arial"/>
                <w:sz w:val="22"/>
              </w:rPr>
            </w:pPr>
            <w:r>
              <w:rPr>
                <w:rFonts w:ascii="Arial" w:hAnsi="Arial" w:cs="Arial"/>
                <w:sz w:val="22"/>
              </w:rPr>
              <w:t>89</w:t>
            </w:r>
          </w:p>
        </w:tc>
        <w:tc>
          <w:tcPr>
            <w:tcW w:w="235" w:type="dxa"/>
            <w:shd w:val="clear" w:color="auto" w:fill="7F7F7F" w:themeFill="text1" w:themeFillTint="80"/>
          </w:tcPr>
          <w:p w:rsidRPr="00B578A9" w:rsidR="00E2301B" w:rsidP="00EA3790" w:rsidRDefault="00E2301B">
            <w:pPr>
              <w:jc w:val="right"/>
              <w:rPr>
                <w:rFonts w:ascii="Arial" w:hAnsi="Arial" w:cs="Arial"/>
                <w:sz w:val="22"/>
              </w:rPr>
            </w:pPr>
          </w:p>
        </w:tc>
        <w:tc>
          <w:tcPr>
            <w:tcW w:w="1263" w:type="dxa"/>
          </w:tcPr>
          <w:p w:rsidR="00E2301B" w:rsidP="00EA3790" w:rsidRDefault="00E2301B">
            <w:pPr>
              <w:jc w:val="right"/>
              <w:rPr>
                <w:rFonts w:ascii="Arial" w:hAnsi="Arial" w:cs="Arial"/>
                <w:sz w:val="22"/>
              </w:rPr>
            </w:pPr>
            <w:r>
              <w:rPr>
                <w:rFonts w:ascii="Arial" w:hAnsi="Arial" w:cs="Arial"/>
                <w:sz w:val="22"/>
              </w:rPr>
              <w:t>635</w:t>
            </w:r>
          </w:p>
        </w:tc>
        <w:tc>
          <w:tcPr>
            <w:tcW w:w="1110" w:type="dxa"/>
          </w:tcPr>
          <w:p w:rsidR="00E2301B" w:rsidP="00EA3790" w:rsidRDefault="00E2301B">
            <w:pPr>
              <w:jc w:val="right"/>
              <w:rPr>
                <w:rFonts w:ascii="Arial" w:hAnsi="Arial" w:cs="Arial"/>
                <w:sz w:val="22"/>
              </w:rPr>
            </w:pPr>
            <w:r>
              <w:rPr>
                <w:rFonts w:ascii="Arial" w:hAnsi="Arial" w:cs="Arial"/>
                <w:sz w:val="22"/>
              </w:rPr>
              <w:t>430</w:t>
            </w:r>
          </w:p>
        </w:tc>
      </w:tr>
      <w:tr w:rsidR="00E2301B" w:rsidTr="00A675D8">
        <w:tc>
          <w:tcPr>
            <w:tcW w:w="3606" w:type="dxa"/>
          </w:tcPr>
          <w:p w:rsidR="00E2301B" w:rsidP="00EA3790" w:rsidRDefault="00E2301B">
            <w:pPr>
              <w:rPr>
                <w:rFonts w:ascii="Arial" w:hAnsi="Arial" w:cs="Arial"/>
                <w:sz w:val="22"/>
              </w:rPr>
            </w:pPr>
            <w:r>
              <w:rPr>
                <w:rFonts w:ascii="Arial" w:hAnsi="Arial" w:cs="Arial"/>
                <w:sz w:val="22"/>
              </w:rPr>
              <w:t>Marginal contribution</w:t>
            </w:r>
          </w:p>
        </w:tc>
        <w:tc>
          <w:tcPr>
            <w:tcW w:w="1195" w:type="dxa"/>
          </w:tcPr>
          <w:p w:rsidR="00E2301B" w:rsidP="00EA3790" w:rsidRDefault="00E2301B">
            <w:pPr>
              <w:jc w:val="right"/>
              <w:rPr>
                <w:rFonts w:ascii="Arial" w:hAnsi="Arial" w:cs="Arial"/>
                <w:sz w:val="22"/>
              </w:rPr>
            </w:pPr>
            <w:r>
              <w:rPr>
                <w:rFonts w:ascii="Arial" w:hAnsi="Arial" w:cs="Arial"/>
                <w:sz w:val="22"/>
              </w:rPr>
              <w:t>+£64,900</w:t>
            </w:r>
          </w:p>
        </w:tc>
        <w:tc>
          <w:tcPr>
            <w:tcW w:w="235" w:type="dxa"/>
            <w:shd w:val="clear" w:color="auto" w:fill="7F7F7F" w:themeFill="text1" w:themeFillTint="80"/>
          </w:tcPr>
          <w:p w:rsidRPr="00B578A9" w:rsidR="00E2301B" w:rsidP="00EA3790" w:rsidRDefault="00E2301B">
            <w:pPr>
              <w:jc w:val="right"/>
              <w:rPr>
                <w:rFonts w:ascii="Arial" w:hAnsi="Arial" w:cs="Arial"/>
                <w:sz w:val="22"/>
              </w:rPr>
            </w:pPr>
          </w:p>
        </w:tc>
        <w:tc>
          <w:tcPr>
            <w:tcW w:w="1263" w:type="dxa"/>
          </w:tcPr>
          <w:p w:rsidR="00E2301B" w:rsidP="00EA3790" w:rsidRDefault="00E2301B">
            <w:pPr>
              <w:jc w:val="right"/>
              <w:rPr>
                <w:rFonts w:ascii="Arial" w:hAnsi="Arial" w:cs="Arial"/>
                <w:sz w:val="22"/>
              </w:rPr>
            </w:pPr>
            <w:r>
              <w:rPr>
                <w:rFonts w:ascii="Arial" w:hAnsi="Arial" w:cs="Arial"/>
                <w:sz w:val="22"/>
              </w:rPr>
              <w:t>+£268,846</w:t>
            </w:r>
          </w:p>
        </w:tc>
        <w:tc>
          <w:tcPr>
            <w:tcW w:w="1110" w:type="dxa"/>
          </w:tcPr>
          <w:p w:rsidR="00E2301B" w:rsidP="00EA3790" w:rsidRDefault="00E2301B">
            <w:pPr>
              <w:jc w:val="right"/>
              <w:rPr>
                <w:rFonts w:ascii="Arial" w:hAnsi="Arial" w:cs="Arial"/>
                <w:sz w:val="22"/>
              </w:rPr>
            </w:pPr>
            <w:r>
              <w:rPr>
                <w:rFonts w:ascii="Arial" w:hAnsi="Arial" w:cs="Arial"/>
                <w:sz w:val="22"/>
              </w:rPr>
              <w:t>-£42,777</w:t>
            </w:r>
          </w:p>
        </w:tc>
      </w:tr>
    </w:tbl>
    <w:p w:rsidR="00B578A9" w:rsidP="00BC3352" w:rsidRDefault="00B578A9">
      <w:pPr>
        <w:ind w:left="284"/>
        <w:rPr>
          <w:rFonts w:ascii="Arial" w:hAnsi="Arial" w:cs="Arial"/>
          <w:sz w:val="26"/>
          <w:szCs w:val="26"/>
        </w:rPr>
      </w:pPr>
    </w:p>
    <w:p w:rsidR="00E2301B" w:rsidP="00BC3352" w:rsidRDefault="00E2301B">
      <w:pPr>
        <w:ind w:left="284"/>
        <w:rPr>
          <w:rFonts w:ascii="Arial" w:hAnsi="Arial" w:cs="Arial"/>
          <w:sz w:val="26"/>
          <w:szCs w:val="26"/>
        </w:rPr>
      </w:pPr>
      <w:r>
        <w:rPr>
          <w:rFonts w:ascii="Arial" w:hAnsi="Arial" w:cs="Arial"/>
          <w:sz w:val="26"/>
          <w:szCs w:val="26"/>
        </w:rPr>
        <w:t xml:space="preserve">If </w:t>
      </w:r>
      <w:r w:rsidR="007C7943">
        <w:rPr>
          <w:rFonts w:ascii="Arial" w:hAnsi="Arial" w:cs="Arial"/>
          <w:sz w:val="26"/>
          <w:szCs w:val="26"/>
        </w:rPr>
        <w:t xml:space="preserve">all of </w:t>
      </w:r>
      <w:r>
        <w:rPr>
          <w:rFonts w:ascii="Arial" w:hAnsi="Arial" w:cs="Arial"/>
          <w:sz w:val="26"/>
          <w:szCs w:val="26"/>
        </w:rPr>
        <w:t>the additional pupils</w:t>
      </w:r>
      <w:r w:rsidR="007C7943">
        <w:rPr>
          <w:rFonts w:ascii="Arial" w:hAnsi="Arial" w:cs="Arial"/>
          <w:sz w:val="26"/>
          <w:szCs w:val="26"/>
        </w:rPr>
        <w:t>’</w:t>
      </w:r>
      <w:r>
        <w:rPr>
          <w:rFonts w:ascii="Arial" w:hAnsi="Arial" w:cs="Arial"/>
          <w:sz w:val="26"/>
          <w:szCs w:val="26"/>
        </w:rPr>
        <w:t xml:space="preserve"> AEN and deprivation profiles reflected the sector average there would be a surplus of </w:t>
      </w:r>
      <w:r w:rsidR="003A6DDA">
        <w:rPr>
          <w:rFonts w:ascii="Arial" w:hAnsi="Arial" w:cs="Arial"/>
          <w:sz w:val="26"/>
          <w:szCs w:val="26"/>
        </w:rPr>
        <w:t>~</w:t>
      </w:r>
      <w:r>
        <w:rPr>
          <w:rFonts w:ascii="Arial" w:hAnsi="Arial" w:cs="Arial"/>
          <w:sz w:val="26"/>
          <w:szCs w:val="26"/>
        </w:rPr>
        <w:t xml:space="preserve">£0.291m. </w:t>
      </w:r>
      <w:r w:rsidR="00394876">
        <w:rPr>
          <w:rFonts w:ascii="Arial" w:hAnsi="Arial" w:cs="Arial"/>
          <w:sz w:val="26"/>
          <w:szCs w:val="26"/>
        </w:rPr>
        <w:t>However</w:t>
      </w:r>
      <w:r w:rsidR="003A6DDA">
        <w:rPr>
          <w:rFonts w:ascii="Arial" w:hAnsi="Arial" w:cs="Arial"/>
          <w:sz w:val="26"/>
          <w:szCs w:val="26"/>
        </w:rPr>
        <w:t>,</w:t>
      </w:r>
      <w:r w:rsidR="00394876">
        <w:rPr>
          <w:rFonts w:ascii="Arial" w:hAnsi="Arial" w:cs="Arial"/>
          <w:sz w:val="26"/>
          <w:szCs w:val="26"/>
        </w:rPr>
        <w:t xml:space="preserve"> until the actual data underpinning the 2019-20 budgets is published by the DfE in December</w:t>
      </w:r>
      <w:r w:rsidR="003A6DDA">
        <w:rPr>
          <w:rFonts w:ascii="Arial" w:hAnsi="Arial" w:cs="Arial"/>
          <w:sz w:val="26"/>
          <w:szCs w:val="26"/>
        </w:rPr>
        <w:t>,</w:t>
      </w:r>
      <w:r w:rsidR="00394876">
        <w:rPr>
          <w:rFonts w:ascii="Arial" w:hAnsi="Arial" w:cs="Arial"/>
          <w:sz w:val="26"/>
          <w:szCs w:val="26"/>
        </w:rPr>
        <w:t xml:space="preserve"> the level</w:t>
      </w:r>
      <w:r w:rsidR="003A6DDA">
        <w:rPr>
          <w:rFonts w:ascii="Arial" w:hAnsi="Arial" w:cs="Arial"/>
          <w:sz w:val="26"/>
          <w:szCs w:val="26"/>
        </w:rPr>
        <w:t xml:space="preserve"> of any surplus </w:t>
      </w:r>
      <w:r w:rsidR="00394876">
        <w:rPr>
          <w:rFonts w:ascii="Arial" w:hAnsi="Arial" w:cs="Arial"/>
          <w:sz w:val="26"/>
          <w:szCs w:val="26"/>
        </w:rPr>
        <w:t xml:space="preserve">funding cannot be guaranteed.  In the event that there is residual funding </w:t>
      </w:r>
      <w:r w:rsidR="007B5261">
        <w:rPr>
          <w:rFonts w:ascii="Arial" w:hAnsi="Arial" w:cs="Arial"/>
          <w:sz w:val="26"/>
          <w:szCs w:val="26"/>
        </w:rPr>
        <w:t xml:space="preserve">available </w:t>
      </w:r>
      <w:r w:rsidR="00394876">
        <w:rPr>
          <w:rFonts w:ascii="Arial" w:hAnsi="Arial" w:cs="Arial"/>
          <w:sz w:val="26"/>
          <w:szCs w:val="26"/>
        </w:rPr>
        <w:t xml:space="preserve">once the consultation proposals have been implemented, </w:t>
      </w:r>
      <w:r w:rsidR="0003412A">
        <w:rPr>
          <w:rFonts w:ascii="Arial" w:hAnsi="Arial" w:cs="Arial"/>
          <w:sz w:val="26"/>
          <w:szCs w:val="26"/>
        </w:rPr>
        <w:t>i</w:t>
      </w:r>
      <w:r w:rsidR="007C7943">
        <w:rPr>
          <w:rFonts w:ascii="Arial" w:hAnsi="Arial" w:cs="Arial"/>
          <w:sz w:val="26"/>
          <w:szCs w:val="26"/>
        </w:rPr>
        <w:t xml:space="preserve">t is likely that the Authority </w:t>
      </w:r>
      <w:r w:rsidR="0003412A">
        <w:rPr>
          <w:rFonts w:ascii="Arial" w:hAnsi="Arial" w:cs="Arial"/>
          <w:sz w:val="26"/>
          <w:szCs w:val="26"/>
        </w:rPr>
        <w:t xml:space="preserve">will </w:t>
      </w:r>
      <w:r w:rsidR="007C7943">
        <w:rPr>
          <w:rFonts w:ascii="Arial" w:hAnsi="Arial" w:cs="Arial"/>
          <w:sz w:val="26"/>
          <w:szCs w:val="26"/>
        </w:rPr>
        <w:t>choose to leave such funding unallocated</w:t>
      </w:r>
      <w:r w:rsidR="0003412A">
        <w:rPr>
          <w:rFonts w:ascii="Arial" w:hAnsi="Arial" w:cs="Arial"/>
          <w:sz w:val="26"/>
          <w:szCs w:val="26"/>
        </w:rPr>
        <w:t>.</w:t>
      </w:r>
    </w:p>
    <w:p w:rsidR="00394876" w:rsidP="00BC3352" w:rsidRDefault="00394876">
      <w:pPr>
        <w:ind w:left="284"/>
        <w:rPr>
          <w:rFonts w:ascii="Arial" w:hAnsi="Arial" w:cs="Arial"/>
          <w:sz w:val="26"/>
          <w:szCs w:val="26"/>
        </w:rPr>
      </w:pPr>
    </w:p>
    <w:p w:rsidRPr="0047751E" w:rsidR="00142805" w:rsidP="00142805" w:rsidRDefault="00142805">
      <w:pPr>
        <w:tabs>
          <w:tab w:val="left" w:pos="1134"/>
        </w:tabs>
        <w:ind w:left="284"/>
        <w:rPr>
          <w:rFonts w:ascii="Arial" w:hAnsi="Arial" w:cs="Arial"/>
          <w:b/>
          <w:sz w:val="26"/>
          <w:szCs w:val="26"/>
        </w:rPr>
      </w:pPr>
      <w:r w:rsidRPr="0047751E">
        <w:rPr>
          <w:rFonts w:ascii="Arial" w:hAnsi="Arial" w:cs="Arial"/>
          <w:b/>
          <w:sz w:val="26"/>
          <w:szCs w:val="26"/>
        </w:rPr>
        <w:t>2.</w:t>
      </w:r>
      <w:r>
        <w:rPr>
          <w:rFonts w:ascii="Arial" w:hAnsi="Arial" w:cs="Arial"/>
          <w:b/>
          <w:sz w:val="26"/>
          <w:szCs w:val="26"/>
        </w:rPr>
        <w:t>3</w:t>
      </w:r>
      <w:r w:rsidRPr="0047751E">
        <w:rPr>
          <w:rFonts w:ascii="Arial" w:hAnsi="Arial" w:cs="Arial"/>
          <w:b/>
          <w:sz w:val="26"/>
          <w:szCs w:val="26"/>
        </w:rPr>
        <w:tab/>
      </w:r>
      <w:r w:rsidRPr="0047751E">
        <w:rPr>
          <w:rFonts w:ascii="Arial" w:hAnsi="Arial" w:cs="Arial"/>
          <w:b/>
          <w:sz w:val="26"/>
          <w:szCs w:val="26"/>
          <w:u w:val="single"/>
        </w:rPr>
        <w:t>201</w:t>
      </w:r>
      <w:r>
        <w:rPr>
          <w:rFonts w:ascii="Arial" w:hAnsi="Arial" w:cs="Arial"/>
          <w:b/>
          <w:sz w:val="26"/>
          <w:szCs w:val="26"/>
          <w:u w:val="single"/>
        </w:rPr>
        <w:t>9</w:t>
      </w:r>
      <w:r w:rsidRPr="0047751E">
        <w:rPr>
          <w:rFonts w:ascii="Arial" w:hAnsi="Arial" w:cs="Arial"/>
          <w:b/>
          <w:sz w:val="26"/>
          <w:szCs w:val="26"/>
          <w:u w:val="single"/>
        </w:rPr>
        <w:t>-</w:t>
      </w:r>
      <w:r>
        <w:rPr>
          <w:rFonts w:ascii="Arial" w:hAnsi="Arial" w:cs="Arial"/>
          <w:b/>
          <w:sz w:val="26"/>
          <w:szCs w:val="26"/>
          <w:u w:val="single"/>
        </w:rPr>
        <w:t>20 Early Years Block</w:t>
      </w:r>
    </w:p>
    <w:p w:rsidR="00394876" w:rsidP="00BC3352" w:rsidRDefault="00394876">
      <w:pPr>
        <w:ind w:left="284"/>
        <w:rPr>
          <w:rFonts w:ascii="Arial" w:hAnsi="Arial" w:cs="Arial"/>
          <w:sz w:val="26"/>
          <w:szCs w:val="26"/>
        </w:rPr>
      </w:pPr>
    </w:p>
    <w:p w:rsidR="00142805" w:rsidP="00BC3352" w:rsidRDefault="00142805">
      <w:pPr>
        <w:ind w:left="284"/>
        <w:rPr>
          <w:rFonts w:ascii="Arial" w:hAnsi="Arial" w:cs="Arial"/>
          <w:sz w:val="26"/>
          <w:szCs w:val="26"/>
        </w:rPr>
      </w:pPr>
      <w:r>
        <w:rPr>
          <w:rFonts w:ascii="Arial" w:hAnsi="Arial" w:cs="Arial"/>
          <w:sz w:val="26"/>
          <w:szCs w:val="26"/>
        </w:rPr>
        <w:t>A paper on this issue is on tonight’s agenda. The key proposal is that the Early Years allocations will be kept within the cash limit for 2019-20 i.e. the current £0.491m reliance on reserves will be removed.</w:t>
      </w:r>
    </w:p>
    <w:p w:rsidR="00142805" w:rsidP="00BC3352" w:rsidRDefault="00142805">
      <w:pPr>
        <w:ind w:left="284"/>
        <w:rPr>
          <w:rFonts w:ascii="Arial" w:hAnsi="Arial" w:cs="Arial"/>
          <w:sz w:val="26"/>
          <w:szCs w:val="26"/>
        </w:rPr>
      </w:pPr>
    </w:p>
    <w:p w:rsidRPr="0047751E" w:rsidR="00142805" w:rsidP="00142805" w:rsidRDefault="00142805">
      <w:pPr>
        <w:tabs>
          <w:tab w:val="left" w:pos="1134"/>
        </w:tabs>
        <w:ind w:left="284"/>
        <w:rPr>
          <w:rFonts w:ascii="Arial" w:hAnsi="Arial" w:cs="Arial"/>
          <w:b/>
          <w:sz w:val="26"/>
          <w:szCs w:val="26"/>
        </w:rPr>
      </w:pPr>
      <w:r w:rsidRPr="0047751E">
        <w:rPr>
          <w:rFonts w:ascii="Arial" w:hAnsi="Arial" w:cs="Arial"/>
          <w:b/>
          <w:sz w:val="26"/>
          <w:szCs w:val="26"/>
        </w:rPr>
        <w:t>2.</w:t>
      </w:r>
      <w:r>
        <w:rPr>
          <w:rFonts w:ascii="Arial" w:hAnsi="Arial" w:cs="Arial"/>
          <w:b/>
          <w:sz w:val="26"/>
          <w:szCs w:val="26"/>
        </w:rPr>
        <w:t>4</w:t>
      </w:r>
      <w:r w:rsidRPr="0047751E">
        <w:rPr>
          <w:rFonts w:ascii="Arial" w:hAnsi="Arial" w:cs="Arial"/>
          <w:b/>
          <w:sz w:val="26"/>
          <w:szCs w:val="26"/>
        </w:rPr>
        <w:tab/>
      </w:r>
      <w:r w:rsidRPr="0047751E">
        <w:rPr>
          <w:rFonts w:ascii="Arial" w:hAnsi="Arial" w:cs="Arial"/>
          <w:b/>
          <w:sz w:val="26"/>
          <w:szCs w:val="26"/>
          <w:u w:val="single"/>
        </w:rPr>
        <w:t>201</w:t>
      </w:r>
      <w:r>
        <w:rPr>
          <w:rFonts w:ascii="Arial" w:hAnsi="Arial" w:cs="Arial"/>
          <w:b/>
          <w:sz w:val="26"/>
          <w:szCs w:val="26"/>
          <w:u w:val="single"/>
        </w:rPr>
        <w:t>9</w:t>
      </w:r>
      <w:r w:rsidRPr="0047751E">
        <w:rPr>
          <w:rFonts w:ascii="Arial" w:hAnsi="Arial" w:cs="Arial"/>
          <w:b/>
          <w:sz w:val="26"/>
          <w:szCs w:val="26"/>
          <w:u w:val="single"/>
        </w:rPr>
        <w:t>-</w:t>
      </w:r>
      <w:r>
        <w:rPr>
          <w:rFonts w:ascii="Arial" w:hAnsi="Arial" w:cs="Arial"/>
          <w:b/>
          <w:sz w:val="26"/>
          <w:szCs w:val="26"/>
          <w:u w:val="single"/>
        </w:rPr>
        <w:t>20 High Needs Block</w:t>
      </w:r>
    </w:p>
    <w:p w:rsidR="00142805" w:rsidP="00BC3352" w:rsidRDefault="00142805">
      <w:pPr>
        <w:ind w:left="284"/>
        <w:rPr>
          <w:rFonts w:ascii="Arial" w:hAnsi="Arial" w:cs="Arial"/>
          <w:sz w:val="26"/>
          <w:szCs w:val="26"/>
        </w:rPr>
      </w:pPr>
    </w:p>
    <w:p w:rsidR="00056ED1" w:rsidP="00BC3352" w:rsidRDefault="00142805">
      <w:pPr>
        <w:ind w:left="284"/>
        <w:rPr>
          <w:rFonts w:ascii="Arial" w:hAnsi="Arial" w:cs="Arial"/>
          <w:sz w:val="26"/>
          <w:szCs w:val="26"/>
        </w:rPr>
      </w:pPr>
      <w:r>
        <w:rPr>
          <w:rFonts w:ascii="Arial" w:hAnsi="Arial" w:cs="Arial"/>
          <w:sz w:val="26"/>
          <w:szCs w:val="26"/>
        </w:rPr>
        <w:t>The High Needs Block is the main are</w:t>
      </w:r>
      <w:r w:rsidR="00056ED1">
        <w:rPr>
          <w:rFonts w:ascii="Arial" w:hAnsi="Arial" w:cs="Arial"/>
          <w:sz w:val="26"/>
          <w:szCs w:val="26"/>
        </w:rPr>
        <w:t>a</w:t>
      </w:r>
      <w:r>
        <w:rPr>
          <w:rFonts w:ascii="Arial" w:hAnsi="Arial" w:cs="Arial"/>
          <w:sz w:val="26"/>
          <w:szCs w:val="26"/>
        </w:rPr>
        <w:t xml:space="preserve"> of concern, accounting for £1.842m of the forecast £2.198m overspend. </w:t>
      </w:r>
      <w:r w:rsidR="00056ED1">
        <w:rPr>
          <w:rFonts w:ascii="Arial" w:hAnsi="Arial" w:cs="Arial"/>
          <w:sz w:val="26"/>
          <w:szCs w:val="26"/>
        </w:rPr>
        <w:t>The High Needs Budget was itself supported by £1.1m from reserves which indicates an over-commitment of the grant of £2.9</w:t>
      </w:r>
      <w:r w:rsidR="002A03A8">
        <w:rPr>
          <w:rFonts w:ascii="Arial" w:hAnsi="Arial" w:cs="Arial"/>
          <w:sz w:val="26"/>
          <w:szCs w:val="26"/>
        </w:rPr>
        <w:t>42</w:t>
      </w:r>
      <w:r w:rsidR="00056ED1">
        <w:rPr>
          <w:rFonts w:ascii="Arial" w:hAnsi="Arial" w:cs="Arial"/>
          <w:sz w:val="26"/>
          <w:szCs w:val="26"/>
        </w:rPr>
        <w:t>m.</w:t>
      </w:r>
      <w:r w:rsidR="00EA0FEE">
        <w:rPr>
          <w:rFonts w:ascii="Arial" w:hAnsi="Arial" w:cs="Arial"/>
          <w:sz w:val="26"/>
          <w:szCs w:val="26"/>
        </w:rPr>
        <w:t xml:space="preserve"> Further pressures </w:t>
      </w:r>
      <w:r w:rsidR="002A03A8">
        <w:rPr>
          <w:rFonts w:ascii="Arial" w:hAnsi="Arial" w:cs="Arial"/>
          <w:sz w:val="26"/>
          <w:szCs w:val="26"/>
        </w:rPr>
        <w:t xml:space="preserve">for </w:t>
      </w:r>
      <w:r w:rsidR="00EA0FEE">
        <w:rPr>
          <w:rFonts w:ascii="Arial" w:hAnsi="Arial" w:cs="Arial"/>
          <w:sz w:val="26"/>
          <w:szCs w:val="26"/>
        </w:rPr>
        <w:t xml:space="preserve">2019-20 </w:t>
      </w:r>
      <w:r w:rsidR="002A03A8">
        <w:rPr>
          <w:rFonts w:ascii="Arial" w:hAnsi="Arial" w:cs="Arial"/>
          <w:sz w:val="26"/>
          <w:szCs w:val="26"/>
        </w:rPr>
        <w:t xml:space="preserve">include </w:t>
      </w:r>
      <w:r w:rsidR="00EA0FEE">
        <w:rPr>
          <w:rFonts w:ascii="Arial" w:hAnsi="Arial" w:cs="Arial"/>
          <w:sz w:val="26"/>
          <w:szCs w:val="26"/>
        </w:rPr>
        <w:t>the impact of the 2018 teachers’ pay award and the proposed increase in teachers’ superannuation contributions from September 2019</w:t>
      </w:r>
      <w:r w:rsidR="002A03A8">
        <w:rPr>
          <w:rFonts w:ascii="Arial" w:hAnsi="Arial" w:cs="Arial"/>
          <w:sz w:val="26"/>
          <w:szCs w:val="26"/>
        </w:rPr>
        <w:t xml:space="preserve"> and the demographic increase in secondary aged pupils</w:t>
      </w:r>
      <w:r w:rsidR="00EA0FEE">
        <w:rPr>
          <w:rFonts w:ascii="Arial" w:hAnsi="Arial" w:cs="Arial"/>
          <w:sz w:val="26"/>
          <w:szCs w:val="26"/>
        </w:rPr>
        <w:t>. At the time of writing no specific additional funding has been indicated to help meet the impact of the</w:t>
      </w:r>
      <w:r w:rsidR="002A03A8">
        <w:rPr>
          <w:rFonts w:ascii="Arial" w:hAnsi="Arial" w:cs="Arial"/>
          <w:sz w:val="26"/>
          <w:szCs w:val="26"/>
        </w:rPr>
        <w:t xml:space="preserve"> pay and pension increases for staff employed </w:t>
      </w:r>
      <w:r w:rsidR="00EA0FEE">
        <w:rPr>
          <w:rFonts w:ascii="Arial" w:hAnsi="Arial" w:cs="Arial"/>
          <w:sz w:val="26"/>
          <w:szCs w:val="26"/>
        </w:rPr>
        <w:t xml:space="preserve">in </w:t>
      </w:r>
      <w:r w:rsidR="002A03A8">
        <w:rPr>
          <w:rFonts w:ascii="Arial" w:hAnsi="Arial" w:cs="Arial"/>
          <w:sz w:val="26"/>
          <w:szCs w:val="26"/>
        </w:rPr>
        <w:t xml:space="preserve">services funded by </w:t>
      </w:r>
      <w:r w:rsidR="00EA0FEE">
        <w:rPr>
          <w:rFonts w:ascii="Arial" w:hAnsi="Arial" w:cs="Arial"/>
          <w:sz w:val="26"/>
          <w:szCs w:val="26"/>
        </w:rPr>
        <w:t>the High Needs Block.</w:t>
      </w:r>
    </w:p>
    <w:p w:rsidR="00056ED1" w:rsidP="00BC3352" w:rsidRDefault="00056ED1">
      <w:pPr>
        <w:ind w:left="284"/>
        <w:rPr>
          <w:rFonts w:ascii="Arial" w:hAnsi="Arial" w:cs="Arial"/>
          <w:sz w:val="26"/>
          <w:szCs w:val="26"/>
        </w:rPr>
      </w:pPr>
    </w:p>
    <w:p w:rsidR="00056ED1" w:rsidP="00BC3352" w:rsidRDefault="00142805">
      <w:pPr>
        <w:ind w:left="284"/>
        <w:rPr>
          <w:rFonts w:ascii="Arial" w:hAnsi="Arial" w:cs="Arial"/>
          <w:sz w:val="26"/>
          <w:szCs w:val="26"/>
        </w:rPr>
      </w:pPr>
      <w:r>
        <w:rPr>
          <w:rFonts w:ascii="Arial" w:hAnsi="Arial" w:cs="Arial"/>
          <w:sz w:val="26"/>
          <w:szCs w:val="26"/>
        </w:rPr>
        <w:t xml:space="preserve">The Authority has commissioned ISOS </w:t>
      </w:r>
      <w:r w:rsidR="002A03A8">
        <w:rPr>
          <w:rFonts w:ascii="Arial" w:hAnsi="Arial" w:cs="Arial"/>
          <w:sz w:val="26"/>
          <w:szCs w:val="26"/>
        </w:rPr>
        <w:t xml:space="preserve">Partnership </w:t>
      </w:r>
      <w:r>
        <w:rPr>
          <w:rFonts w:ascii="Arial" w:hAnsi="Arial" w:cs="Arial"/>
          <w:sz w:val="26"/>
          <w:szCs w:val="26"/>
        </w:rPr>
        <w:t>to undertake a strategic review of the High Needs provision in Derbyshire and a</w:t>
      </w:r>
      <w:r w:rsidR="002A03A8">
        <w:rPr>
          <w:rFonts w:ascii="Arial" w:hAnsi="Arial" w:cs="Arial"/>
          <w:sz w:val="26"/>
          <w:szCs w:val="26"/>
        </w:rPr>
        <w:t xml:space="preserve">n update on </w:t>
      </w:r>
      <w:r>
        <w:rPr>
          <w:rFonts w:ascii="Arial" w:hAnsi="Arial" w:cs="Arial"/>
          <w:sz w:val="26"/>
          <w:szCs w:val="26"/>
        </w:rPr>
        <w:t>progress has been presented to this meeting. The intention is that the review conclude</w:t>
      </w:r>
      <w:r w:rsidR="00056ED1">
        <w:rPr>
          <w:rFonts w:ascii="Arial" w:hAnsi="Arial" w:cs="Arial"/>
          <w:sz w:val="26"/>
          <w:szCs w:val="26"/>
        </w:rPr>
        <w:t>s</w:t>
      </w:r>
      <w:r>
        <w:rPr>
          <w:rFonts w:ascii="Arial" w:hAnsi="Arial" w:cs="Arial"/>
          <w:sz w:val="26"/>
          <w:szCs w:val="26"/>
        </w:rPr>
        <w:t xml:space="preserve"> by </w:t>
      </w:r>
      <w:r w:rsidR="00EA0FEE">
        <w:rPr>
          <w:rFonts w:ascii="Arial" w:hAnsi="Arial" w:cs="Arial"/>
          <w:sz w:val="26"/>
          <w:szCs w:val="26"/>
        </w:rPr>
        <w:t xml:space="preserve">the start of the summer term </w:t>
      </w:r>
      <w:r>
        <w:rPr>
          <w:rFonts w:ascii="Arial" w:hAnsi="Arial" w:cs="Arial"/>
          <w:sz w:val="26"/>
          <w:szCs w:val="26"/>
        </w:rPr>
        <w:t xml:space="preserve">2019. </w:t>
      </w:r>
      <w:r w:rsidR="00056ED1">
        <w:rPr>
          <w:rFonts w:ascii="Arial" w:hAnsi="Arial" w:cs="Arial"/>
          <w:sz w:val="26"/>
          <w:szCs w:val="26"/>
        </w:rPr>
        <w:t xml:space="preserve">In the interim the Authority </w:t>
      </w:r>
      <w:r w:rsidR="00EA0FEE">
        <w:rPr>
          <w:rFonts w:ascii="Arial" w:hAnsi="Arial" w:cs="Arial"/>
          <w:sz w:val="26"/>
          <w:szCs w:val="26"/>
        </w:rPr>
        <w:t xml:space="preserve">will need to </w:t>
      </w:r>
      <w:r w:rsidR="00056ED1">
        <w:rPr>
          <w:rFonts w:ascii="Arial" w:hAnsi="Arial" w:cs="Arial"/>
          <w:sz w:val="26"/>
          <w:szCs w:val="26"/>
        </w:rPr>
        <w:t>reduce its HNB spend for next year</w:t>
      </w:r>
      <w:r w:rsidR="00EA0FEE">
        <w:rPr>
          <w:rFonts w:ascii="Arial" w:hAnsi="Arial" w:cs="Arial"/>
          <w:sz w:val="26"/>
          <w:szCs w:val="26"/>
        </w:rPr>
        <w:t xml:space="preserve"> and potential </w:t>
      </w:r>
      <w:r w:rsidR="00056ED1">
        <w:rPr>
          <w:rFonts w:ascii="Arial" w:hAnsi="Arial" w:cs="Arial"/>
          <w:sz w:val="26"/>
          <w:szCs w:val="26"/>
        </w:rPr>
        <w:t>measures could include:</w:t>
      </w:r>
    </w:p>
    <w:p w:rsidR="00056ED1" w:rsidP="00BC3352" w:rsidRDefault="00056ED1">
      <w:pPr>
        <w:ind w:left="284"/>
        <w:rPr>
          <w:rFonts w:ascii="Arial" w:hAnsi="Arial" w:cs="Arial"/>
          <w:sz w:val="26"/>
          <w:szCs w:val="26"/>
        </w:rPr>
      </w:pPr>
    </w:p>
    <w:p w:rsidR="00056ED1" w:rsidP="00056ED1" w:rsidRDefault="00AF77F0">
      <w:pPr>
        <w:pStyle w:val="ListParagraph"/>
        <w:numPr>
          <w:ilvl w:val="0"/>
          <w:numId w:val="50"/>
        </w:numPr>
        <w:rPr>
          <w:rFonts w:ascii="Arial" w:hAnsi="Arial" w:cs="Arial"/>
          <w:sz w:val="26"/>
          <w:szCs w:val="26"/>
        </w:rPr>
      </w:pPr>
      <w:r>
        <w:rPr>
          <w:rFonts w:ascii="Arial" w:hAnsi="Arial" w:cs="Arial"/>
          <w:sz w:val="26"/>
          <w:szCs w:val="26"/>
        </w:rPr>
        <w:t>Reduced subsidy for services/i</w:t>
      </w:r>
      <w:r w:rsidRPr="00056ED1" w:rsidR="00056ED1">
        <w:rPr>
          <w:rFonts w:ascii="Arial" w:hAnsi="Arial" w:cs="Arial"/>
          <w:sz w:val="26"/>
          <w:szCs w:val="26"/>
        </w:rPr>
        <w:t>ncreased income from trading</w:t>
      </w:r>
      <w:r w:rsidR="00056ED1">
        <w:rPr>
          <w:rFonts w:ascii="Arial" w:hAnsi="Arial" w:cs="Arial"/>
          <w:sz w:val="26"/>
          <w:szCs w:val="26"/>
        </w:rPr>
        <w:t>;</w:t>
      </w:r>
    </w:p>
    <w:p w:rsidR="00AF77F0" w:rsidP="00056ED1" w:rsidRDefault="00FD65E6">
      <w:pPr>
        <w:pStyle w:val="ListParagraph"/>
        <w:numPr>
          <w:ilvl w:val="0"/>
          <w:numId w:val="50"/>
        </w:numPr>
        <w:rPr>
          <w:rFonts w:ascii="Arial" w:hAnsi="Arial" w:cs="Arial"/>
          <w:sz w:val="26"/>
          <w:szCs w:val="26"/>
        </w:rPr>
      </w:pPr>
      <w:r>
        <w:rPr>
          <w:rFonts w:ascii="Arial" w:hAnsi="Arial" w:cs="Arial"/>
          <w:sz w:val="26"/>
          <w:szCs w:val="26"/>
        </w:rPr>
        <w:t xml:space="preserve">Require schools to contribute financially to </w:t>
      </w:r>
      <w:r w:rsidR="002471B4">
        <w:rPr>
          <w:rFonts w:ascii="Arial" w:hAnsi="Arial" w:cs="Arial"/>
          <w:sz w:val="26"/>
          <w:szCs w:val="26"/>
        </w:rPr>
        <w:t>support tailor made programmes</w:t>
      </w:r>
      <w:r w:rsidR="00AF77F0">
        <w:rPr>
          <w:rFonts w:ascii="Arial" w:hAnsi="Arial" w:cs="Arial"/>
          <w:sz w:val="26"/>
          <w:szCs w:val="26"/>
        </w:rPr>
        <w:t>;</w:t>
      </w:r>
    </w:p>
    <w:p w:rsidR="00056ED1" w:rsidP="00056ED1" w:rsidRDefault="00056ED1">
      <w:pPr>
        <w:pStyle w:val="ListParagraph"/>
        <w:numPr>
          <w:ilvl w:val="0"/>
          <w:numId w:val="50"/>
        </w:numPr>
        <w:rPr>
          <w:rFonts w:ascii="Arial" w:hAnsi="Arial" w:cs="Arial"/>
          <w:sz w:val="26"/>
          <w:szCs w:val="26"/>
        </w:rPr>
      </w:pPr>
      <w:r>
        <w:rPr>
          <w:rFonts w:ascii="Arial" w:hAnsi="Arial" w:cs="Arial"/>
          <w:sz w:val="26"/>
          <w:szCs w:val="26"/>
        </w:rPr>
        <w:t>Reductions in intervention and vulnerable children’s funds;</w:t>
      </w:r>
    </w:p>
    <w:p w:rsidR="00056ED1" w:rsidP="00056ED1" w:rsidRDefault="00056ED1">
      <w:pPr>
        <w:pStyle w:val="ListParagraph"/>
        <w:numPr>
          <w:ilvl w:val="0"/>
          <w:numId w:val="50"/>
        </w:numPr>
        <w:rPr>
          <w:rFonts w:ascii="Arial" w:hAnsi="Arial" w:cs="Arial"/>
          <w:sz w:val="26"/>
          <w:szCs w:val="26"/>
        </w:rPr>
      </w:pPr>
      <w:r>
        <w:rPr>
          <w:rFonts w:ascii="Arial" w:hAnsi="Arial" w:cs="Arial"/>
          <w:sz w:val="26"/>
          <w:szCs w:val="26"/>
        </w:rPr>
        <w:t xml:space="preserve">Reduction in support for individual </w:t>
      </w:r>
      <w:r w:rsidR="00AF77F0">
        <w:rPr>
          <w:rFonts w:ascii="Arial" w:hAnsi="Arial" w:cs="Arial"/>
          <w:sz w:val="26"/>
          <w:szCs w:val="26"/>
        </w:rPr>
        <w:t>schools;</w:t>
      </w:r>
    </w:p>
    <w:p w:rsidR="00AF77F0" w:rsidP="00056ED1" w:rsidRDefault="00AF77F0">
      <w:pPr>
        <w:pStyle w:val="ListParagraph"/>
        <w:numPr>
          <w:ilvl w:val="0"/>
          <w:numId w:val="50"/>
        </w:numPr>
        <w:rPr>
          <w:rFonts w:ascii="Arial" w:hAnsi="Arial" w:cs="Arial"/>
          <w:sz w:val="26"/>
          <w:szCs w:val="26"/>
        </w:rPr>
      </w:pPr>
      <w:r>
        <w:rPr>
          <w:rFonts w:ascii="Arial" w:hAnsi="Arial" w:cs="Arial"/>
          <w:sz w:val="26"/>
          <w:szCs w:val="26"/>
        </w:rPr>
        <w:t>Reduction in Early Help contributions;</w:t>
      </w:r>
    </w:p>
    <w:p w:rsidRPr="00056ED1" w:rsidR="00AF77F0" w:rsidP="00056ED1" w:rsidRDefault="00AF77F0">
      <w:pPr>
        <w:pStyle w:val="ListParagraph"/>
        <w:numPr>
          <w:ilvl w:val="0"/>
          <w:numId w:val="50"/>
        </w:numPr>
        <w:rPr>
          <w:rFonts w:ascii="Arial" w:hAnsi="Arial" w:cs="Arial"/>
          <w:sz w:val="26"/>
          <w:szCs w:val="26"/>
        </w:rPr>
      </w:pPr>
      <w:r>
        <w:rPr>
          <w:rFonts w:ascii="Arial" w:hAnsi="Arial" w:cs="Arial"/>
          <w:sz w:val="26"/>
          <w:szCs w:val="26"/>
        </w:rPr>
        <w:t>Reductions in service costs through vacancy control.</w:t>
      </w:r>
    </w:p>
    <w:p w:rsidR="006D5D71" w:rsidP="00BC3352" w:rsidRDefault="006D5D71">
      <w:pPr>
        <w:ind w:left="284"/>
        <w:rPr>
          <w:rFonts w:ascii="Arial" w:hAnsi="Arial" w:cs="Arial"/>
          <w:sz w:val="26"/>
          <w:szCs w:val="26"/>
        </w:rPr>
      </w:pPr>
    </w:p>
    <w:p w:rsidR="00142805" w:rsidP="00BC3352" w:rsidRDefault="00AF77F0">
      <w:pPr>
        <w:ind w:left="284"/>
        <w:rPr>
          <w:rFonts w:ascii="Arial" w:hAnsi="Arial" w:cs="Arial"/>
          <w:sz w:val="26"/>
          <w:szCs w:val="26"/>
        </w:rPr>
      </w:pPr>
      <w:r>
        <w:rPr>
          <w:rFonts w:ascii="Arial" w:hAnsi="Arial" w:cs="Arial"/>
          <w:sz w:val="26"/>
          <w:szCs w:val="26"/>
        </w:rPr>
        <w:t>The above measures could potentially save up to £1m</w:t>
      </w:r>
      <w:r w:rsidR="006D5D71">
        <w:rPr>
          <w:rFonts w:ascii="Arial" w:hAnsi="Arial" w:cs="Arial"/>
          <w:sz w:val="26"/>
          <w:szCs w:val="26"/>
        </w:rPr>
        <w:t xml:space="preserve"> per annum</w:t>
      </w:r>
      <w:r>
        <w:rPr>
          <w:rFonts w:ascii="Arial" w:hAnsi="Arial" w:cs="Arial"/>
          <w:sz w:val="26"/>
          <w:szCs w:val="26"/>
        </w:rPr>
        <w:t>. Further reductions could only be achieved from major shifts in policy in terms of Derbyshire’s SEN Local Offer and/or from major structural changes in how services are organised</w:t>
      </w:r>
      <w:r w:rsidR="006D5D71">
        <w:rPr>
          <w:rFonts w:ascii="Arial" w:hAnsi="Arial" w:cs="Arial"/>
          <w:sz w:val="26"/>
          <w:szCs w:val="26"/>
        </w:rPr>
        <w:t xml:space="preserve">, </w:t>
      </w:r>
      <w:r>
        <w:rPr>
          <w:rFonts w:ascii="Arial" w:hAnsi="Arial" w:cs="Arial"/>
          <w:sz w:val="26"/>
          <w:szCs w:val="26"/>
        </w:rPr>
        <w:t>delivered</w:t>
      </w:r>
      <w:r w:rsidR="00FD65E6">
        <w:rPr>
          <w:rFonts w:ascii="Arial" w:hAnsi="Arial" w:cs="Arial"/>
          <w:sz w:val="26"/>
          <w:szCs w:val="26"/>
        </w:rPr>
        <w:t xml:space="preserve"> or commissioned</w:t>
      </w:r>
      <w:r>
        <w:rPr>
          <w:rFonts w:ascii="Arial" w:hAnsi="Arial" w:cs="Arial"/>
          <w:sz w:val="26"/>
          <w:szCs w:val="26"/>
        </w:rPr>
        <w:t xml:space="preserve">. The scope for making significant savings in </w:t>
      </w:r>
      <w:r w:rsidR="006D5D71">
        <w:rPr>
          <w:rFonts w:ascii="Arial" w:hAnsi="Arial" w:cs="Arial"/>
          <w:sz w:val="26"/>
          <w:szCs w:val="26"/>
        </w:rPr>
        <w:t xml:space="preserve">2019-20 </w:t>
      </w:r>
      <w:r>
        <w:rPr>
          <w:rFonts w:ascii="Arial" w:hAnsi="Arial" w:cs="Arial"/>
          <w:sz w:val="26"/>
          <w:szCs w:val="26"/>
        </w:rPr>
        <w:t>is therefore limited.</w:t>
      </w:r>
    </w:p>
    <w:p w:rsidR="00FD65E6" w:rsidP="00BC3352" w:rsidRDefault="00FD65E6">
      <w:pPr>
        <w:ind w:left="284"/>
        <w:rPr>
          <w:rFonts w:ascii="Arial" w:hAnsi="Arial" w:cs="Arial"/>
          <w:sz w:val="26"/>
          <w:szCs w:val="26"/>
        </w:rPr>
      </w:pPr>
    </w:p>
    <w:p w:rsidRPr="0047751E" w:rsidR="00FD65E6" w:rsidP="00FD65E6" w:rsidRDefault="00FD65E6">
      <w:pPr>
        <w:tabs>
          <w:tab w:val="left" w:pos="1134"/>
        </w:tabs>
        <w:ind w:left="284"/>
        <w:rPr>
          <w:rFonts w:ascii="Arial" w:hAnsi="Arial" w:cs="Arial"/>
          <w:b/>
          <w:sz w:val="26"/>
          <w:szCs w:val="26"/>
        </w:rPr>
      </w:pPr>
      <w:r w:rsidRPr="0047751E">
        <w:rPr>
          <w:rFonts w:ascii="Arial" w:hAnsi="Arial" w:cs="Arial"/>
          <w:b/>
          <w:sz w:val="26"/>
          <w:szCs w:val="26"/>
        </w:rPr>
        <w:t>2.</w:t>
      </w:r>
      <w:r>
        <w:rPr>
          <w:rFonts w:ascii="Arial" w:hAnsi="Arial" w:cs="Arial"/>
          <w:b/>
          <w:sz w:val="26"/>
          <w:szCs w:val="26"/>
        </w:rPr>
        <w:t>5</w:t>
      </w:r>
      <w:r w:rsidRPr="0047751E">
        <w:rPr>
          <w:rFonts w:ascii="Arial" w:hAnsi="Arial" w:cs="Arial"/>
          <w:b/>
          <w:sz w:val="26"/>
          <w:szCs w:val="26"/>
        </w:rPr>
        <w:tab/>
      </w:r>
      <w:r w:rsidRPr="0047751E">
        <w:rPr>
          <w:rFonts w:ascii="Arial" w:hAnsi="Arial" w:cs="Arial"/>
          <w:b/>
          <w:sz w:val="26"/>
          <w:szCs w:val="26"/>
          <w:u w:val="single"/>
        </w:rPr>
        <w:t>201</w:t>
      </w:r>
      <w:r>
        <w:rPr>
          <w:rFonts w:ascii="Arial" w:hAnsi="Arial" w:cs="Arial"/>
          <w:b/>
          <w:sz w:val="26"/>
          <w:szCs w:val="26"/>
          <w:u w:val="single"/>
        </w:rPr>
        <w:t>9</w:t>
      </w:r>
      <w:r w:rsidRPr="0047751E">
        <w:rPr>
          <w:rFonts w:ascii="Arial" w:hAnsi="Arial" w:cs="Arial"/>
          <w:b/>
          <w:sz w:val="26"/>
          <w:szCs w:val="26"/>
          <w:u w:val="single"/>
        </w:rPr>
        <w:t>-</w:t>
      </w:r>
      <w:r>
        <w:rPr>
          <w:rFonts w:ascii="Arial" w:hAnsi="Arial" w:cs="Arial"/>
          <w:b/>
          <w:sz w:val="26"/>
          <w:szCs w:val="26"/>
          <w:u w:val="single"/>
        </w:rPr>
        <w:t>20 Central School Services Block (CSSB)</w:t>
      </w:r>
    </w:p>
    <w:p w:rsidR="00FD65E6" w:rsidP="00BC3352" w:rsidRDefault="00FD65E6">
      <w:pPr>
        <w:ind w:left="284"/>
        <w:rPr>
          <w:rFonts w:ascii="Arial" w:hAnsi="Arial" w:cs="Arial"/>
          <w:sz w:val="26"/>
          <w:szCs w:val="26"/>
        </w:rPr>
      </w:pPr>
    </w:p>
    <w:p w:rsidR="00FD65E6" w:rsidP="00FD65E6" w:rsidRDefault="00FD65E6">
      <w:pPr>
        <w:ind w:left="284"/>
        <w:rPr>
          <w:rFonts w:ascii="Arial" w:hAnsi="Arial" w:cs="Arial"/>
          <w:sz w:val="26"/>
          <w:szCs w:val="26"/>
        </w:rPr>
      </w:pPr>
      <w:r w:rsidRPr="00E44EF0">
        <w:rPr>
          <w:rFonts w:ascii="Arial" w:hAnsi="Arial" w:cs="Arial"/>
          <w:sz w:val="26"/>
          <w:szCs w:val="26"/>
        </w:rPr>
        <w:t>Th</w:t>
      </w:r>
      <w:r>
        <w:rPr>
          <w:rFonts w:ascii="Arial" w:hAnsi="Arial" w:cs="Arial"/>
          <w:sz w:val="26"/>
          <w:szCs w:val="26"/>
        </w:rPr>
        <w:t xml:space="preserve">e </w:t>
      </w:r>
      <w:r w:rsidRPr="00FD65E6">
        <w:rPr>
          <w:rFonts w:ascii="Arial" w:hAnsi="Arial" w:cs="Arial"/>
          <w:sz w:val="26"/>
          <w:szCs w:val="26"/>
        </w:rPr>
        <w:t xml:space="preserve">Central School Services Block (CSSB) </w:t>
      </w:r>
      <w:r w:rsidRPr="00E44EF0">
        <w:rPr>
          <w:rFonts w:ascii="Arial" w:hAnsi="Arial" w:cs="Arial"/>
          <w:sz w:val="26"/>
          <w:szCs w:val="26"/>
        </w:rPr>
        <w:t>pays for a range of ongoing responsibilities, including functions previously funded by the ESG Retained Duties grant, admissions service, costs of the schools forum and sundry licences for schools and academies. The LA also receives as a</w:t>
      </w:r>
      <w:r>
        <w:rPr>
          <w:rFonts w:ascii="Arial" w:hAnsi="Arial" w:cs="Arial"/>
          <w:sz w:val="26"/>
          <w:szCs w:val="26"/>
        </w:rPr>
        <w:t>n</w:t>
      </w:r>
      <w:r w:rsidRPr="00E44EF0">
        <w:rPr>
          <w:rFonts w:ascii="Arial" w:hAnsi="Arial" w:cs="Arial"/>
          <w:sz w:val="26"/>
          <w:szCs w:val="26"/>
        </w:rPr>
        <w:t xml:space="preserve"> “historic commitment” funding towards its early help offer.</w:t>
      </w:r>
      <w:r>
        <w:rPr>
          <w:rFonts w:ascii="Arial" w:hAnsi="Arial" w:cs="Arial"/>
          <w:sz w:val="26"/>
          <w:szCs w:val="26"/>
        </w:rPr>
        <w:t xml:space="preserve"> As reported to the September Forum meeting the DfE published indicative allocations for 2019-20 as shown in the table below:</w:t>
      </w:r>
    </w:p>
    <w:p w:rsidR="00FD65E6" w:rsidP="00FD65E6" w:rsidRDefault="00FD65E6">
      <w:pPr>
        <w:ind w:left="284"/>
        <w:rPr>
          <w:rFonts w:ascii="Arial" w:hAnsi="Arial" w:cs="Arial"/>
          <w:sz w:val="26"/>
          <w:szCs w:val="26"/>
        </w:rPr>
      </w:pPr>
    </w:p>
    <w:tbl>
      <w:tblPr>
        <w:tblStyle w:val="TableGrid"/>
        <w:tblW w:w="0" w:type="auto"/>
        <w:tblInd w:w="704" w:type="dxa"/>
        <w:tblLook w:val="04A0" w:firstRow="1" w:lastRow="0" w:firstColumn="1" w:lastColumn="0" w:noHBand="0" w:noVBand="1"/>
      </w:tblPr>
      <w:tblGrid>
        <w:gridCol w:w="5387"/>
        <w:gridCol w:w="1418"/>
        <w:gridCol w:w="1418"/>
      </w:tblGrid>
      <w:tr w:rsidR="00FD65E6" w:rsidTr="00A87639">
        <w:tc>
          <w:tcPr>
            <w:tcW w:w="5387" w:type="dxa"/>
          </w:tcPr>
          <w:p w:rsidRPr="00FD65E6" w:rsidR="00FD65E6" w:rsidP="00A87639" w:rsidRDefault="00FD65E6">
            <w:pPr>
              <w:rPr>
                <w:rStyle w:val="BookTitle"/>
                <w:rFonts w:ascii="Arial" w:hAnsi="Arial" w:cs="Arial"/>
                <w:b w:val="0"/>
                <w:bCs w:val="0"/>
                <w:i w:val="0"/>
                <w:iCs w:val="0"/>
                <w:sz w:val="26"/>
                <w:szCs w:val="26"/>
              </w:rPr>
            </w:pPr>
          </w:p>
        </w:tc>
        <w:tc>
          <w:tcPr>
            <w:tcW w:w="1418" w:type="dxa"/>
          </w:tcPr>
          <w:p w:rsidRPr="00FD65E6" w:rsidR="00FD65E6" w:rsidP="00A87639" w:rsidRDefault="00FD65E6">
            <w:pPr>
              <w:jc w:val="right"/>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2018-19</w:t>
            </w:r>
          </w:p>
        </w:tc>
        <w:tc>
          <w:tcPr>
            <w:tcW w:w="1418" w:type="dxa"/>
          </w:tcPr>
          <w:p w:rsidRPr="00FD65E6" w:rsidR="00FD65E6" w:rsidP="00A87639" w:rsidRDefault="00FD65E6">
            <w:pPr>
              <w:jc w:val="right"/>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2019-20</w:t>
            </w:r>
          </w:p>
        </w:tc>
      </w:tr>
      <w:tr w:rsidRPr="00AB7622" w:rsidR="00FD65E6" w:rsidTr="00A87639">
        <w:tc>
          <w:tcPr>
            <w:tcW w:w="5387" w:type="dxa"/>
          </w:tcPr>
          <w:p w:rsidRPr="00FD65E6" w:rsidR="00FD65E6" w:rsidP="00A87639" w:rsidRDefault="00FD65E6">
            <w:pPr>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Per pupil rate – ongoing functions (£)</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£28.61</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£29.23</w:t>
            </w:r>
          </w:p>
        </w:tc>
      </w:tr>
      <w:tr w:rsidRPr="00AB7622" w:rsidR="00FD65E6" w:rsidTr="00A87639">
        <w:tc>
          <w:tcPr>
            <w:tcW w:w="5387" w:type="dxa"/>
          </w:tcPr>
          <w:p w:rsidRPr="00FD65E6" w:rsidR="00FD65E6" w:rsidP="00A87639" w:rsidRDefault="00FD65E6">
            <w:pPr>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DSG pupil numbers</w:t>
            </w:r>
          </w:p>
        </w:tc>
        <w:tc>
          <w:tcPr>
            <w:tcW w:w="1418" w:type="dxa"/>
          </w:tcPr>
          <w:p w:rsidRPr="00FD65E6" w:rsidR="00FD65E6" w:rsidP="00A87639" w:rsidRDefault="00FD65E6">
            <w:pPr>
              <w:jc w:val="right"/>
              <w:rPr>
                <w:rStyle w:val="BookTitle"/>
                <w:rFonts w:ascii="Arial" w:hAnsi="Arial" w:cs="Arial"/>
                <w:b w:val="0"/>
                <w:bCs w:val="0"/>
                <w:i w:val="0"/>
                <w:iCs w:val="0"/>
                <w:color w:val="000000"/>
                <w:sz w:val="26"/>
                <w:szCs w:val="26"/>
              </w:rPr>
            </w:pPr>
            <w:r w:rsidRPr="00FD65E6">
              <w:rPr>
                <w:rFonts w:ascii="Arial" w:hAnsi="Arial" w:cs="Arial"/>
                <w:color w:val="000000"/>
                <w:sz w:val="26"/>
                <w:szCs w:val="26"/>
              </w:rPr>
              <w:t>97,133.5</w:t>
            </w:r>
          </w:p>
        </w:tc>
        <w:tc>
          <w:tcPr>
            <w:tcW w:w="1418" w:type="dxa"/>
          </w:tcPr>
          <w:p w:rsidRPr="00FD65E6" w:rsidR="00FD65E6" w:rsidP="00A87639" w:rsidRDefault="00FD65E6">
            <w:pPr>
              <w:jc w:val="right"/>
              <w:rPr>
                <w:rStyle w:val="BookTitle"/>
                <w:rFonts w:ascii="Arial" w:hAnsi="Arial" w:cs="Arial"/>
                <w:b w:val="0"/>
                <w:bCs w:val="0"/>
                <w:i w:val="0"/>
                <w:iCs w:val="0"/>
                <w:color w:val="000000"/>
                <w:sz w:val="26"/>
                <w:szCs w:val="26"/>
              </w:rPr>
            </w:pPr>
            <w:r w:rsidRPr="00FD65E6">
              <w:rPr>
                <w:rFonts w:ascii="Arial" w:hAnsi="Arial" w:cs="Arial"/>
                <w:color w:val="000000"/>
                <w:sz w:val="26"/>
                <w:szCs w:val="26"/>
              </w:rPr>
              <w:t>97,133.5</w:t>
            </w:r>
          </w:p>
        </w:tc>
      </w:tr>
      <w:tr w:rsidRPr="00AB7622" w:rsidR="00FD65E6" w:rsidTr="00A87639">
        <w:tc>
          <w:tcPr>
            <w:tcW w:w="5387" w:type="dxa"/>
          </w:tcPr>
          <w:p w:rsidRPr="00FD65E6" w:rsidR="00FD65E6" w:rsidP="00A87639" w:rsidRDefault="00FD65E6">
            <w:pPr>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Funding for ongoing responsibilities (£)</w:t>
            </w:r>
          </w:p>
        </w:tc>
        <w:tc>
          <w:tcPr>
            <w:tcW w:w="1418" w:type="dxa"/>
          </w:tcPr>
          <w:p w:rsidRPr="00FD65E6" w:rsidR="00FD65E6" w:rsidP="00A87639" w:rsidRDefault="00FD65E6">
            <w:pPr>
              <w:jc w:val="right"/>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2,778,989</w:t>
            </w:r>
          </w:p>
        </w:tc>
        <w:tc>
          <w:tcPr>
            <w:tcW w:w="1418" w:type="dxa"/>
          </w:tcPr>
          <w:p w:rsidRPr="00FD65E6" w:rsidR="00FD65E6" w:rsidP="00A87639" w:rsidRDefault="00FD65E6">
            <w:pPr>
              <w:jc w:val="right"/>
              <w:rPr>
                <w:rStyle w:val="BookTitle"/>
                <w:rFonts w:ascii="Arial" w:hAnsi="Arial" w:cs="Arial"/>
                <w:b w:val="0"/>
                <w:bCs w:val="0"/>
                <w:i w:val="0"/>
                <w:iCs w:val="0"/>
                <w:sz w:val="26"/>
                <w:szCs w:val="26"/>
              </w:rPr>
            </w:pPr>
            <w:r w:rsidRPr="00FD65E6">
              <w:rPr>
                <w:rStyle w:val="BookTitle"/>
                <w:rFonts w:ascii="Arial" w:hAnsi="Arial" w:cs="Arial"/>
                <w:b w:val="0"/>
                <w:i w:val="0"/>
                <w:sz w:val="26"/>
                <w:szCs w:val="26"/>
              </w:rPr>
              <w:t>2,839,212</w:t>
            </w:r>
          </w:p>
        </w:tc>
      </w:tr>
      <w:tr w:rsidRPr="00AB7622" w:rsidR="00FD65E6" w:rsidTr="00A87639">
        <w:tc>
          <w:tcPr>
            <w:tcW w:w="5387" w:type="dxa"/>
            <w:vAlign w:val="center"/>
          </w:tcPr>
          <w:p w:rsidRPr="00FD65E6" w:rsidR="00FD65E6" w:rsidP="00A87639" w:rsidRDefault="00FD65E6">
            <w:pPr>
              <w:rPr>
                <w:rFonts w:ascii="Arial" w:hAnsi="Arial" w:cs="Arial"/>
                <w:color w:val="000000"/>
                <w:sz w:val="26"/>
                <w:szCs w:val="26"/>
              </w:rPr>
            </w:pPr>
          </w:p>
        </w:tc>
        <w:tc>
          <w:tcPr>
            <w:tcW w:w="1418" w:type="dxa"/>
            <w:vAlign w:val="center"/>
          </w:tcPr>
          <w:p w:rsidRPr="00FD65E6" w:rsidR="00FD65E6" w:rsidP="00A87639" w:rsidRDefault="00FD65E6">
            <w:pPr>
              <w:jc w:val="right"/>
              <w:rPr>
                <w:rFonts w:ascii="Arial" w:hAnsi="Arial" w:cs="Arial"/>
                <w:color w:val="000000"/>
                <w:sz w:val="26"/>
                <w:szCs w:val="26"/>
              </w:rPr>
            </w:pPr>
          </w:p>
        </w:tc>
        <w:tc>
          <w:tcPr>
            <w:tcW w:w="1418" w:type="dxa"/>
            <w:vAlign w:val="center"/>
          </w:tcPr>
          <w:p w:rsidRPr="00FD65E6" w:rsidR="00FD65E6" w:rsidP="00A87639" w:rsidRDefault="00FD65E6">
            <w:pPr>
              <w:jc w:val="right"/>
              <w:rPr>
                <w:rFonts w:ascii="Arial" w:hAnsi="Arial" w:cs="Arial"/>
                <w:color w:val="000000"/>
                <w:sz w:val="26"/>
                <w:szCs w:val="26"/>
              </w:rPr>
            </w:pPr>
          </w:p>
        </w:tc>
      </w:tr>
      <w:tr w:rsidRPr="00AB7622" w:rsidR="00FD65E6" w:rsidTr="00A87639">
        <w:tc>
          <w:tcPr>
            <w:tcW w:w="5387" w:type="dxa"/>
            <w:vAlign w:val="center"/>
          </w:tcPr>
          <w:p w:rsidRPr="00FD65E6" w:rsidR="00FD65E6" w:rsidP="00A87639" w:rsidRDefault="00FD65E6">
            <w:pPr>
              <w:rPr>
                <w:rFonts w:ascii="Arial" w:hAnsi="Arial" w:cs="Arial"/>
                <w:color w:val="000000"/>
                <w:sz w:val="26"/>
                <w:szCs w:val="26"/>
              </w:rPr>
            </w:pPr>
            <w:r w:rsidRPr="00FD65E6">
              <w:rPr>
                <w:rFonts w:ascii="Arial" w:hAnsi="Arial" w:cs="Arial"/>
                <w:color w:val="000000"/>
                <w:sz w:val="26"/>
                <w:szCs w:val="26"/>
              </w:rPr>
              <w:t>Historic commitments (£)</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1,737,000</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1,737,000</w:t>
            </w:r>
          </w:p>
        </w:tc>
      </w:tr>
      <w:tr w:rsidRPr="00AB7622" w:rsidR="00FD65E6" w:rsidTr="00A87639">
        <w:tc>
          <w:tcPr>
            <w:tcW w:w="5387" w:type="dxa"/>
            <w:vAlign w:val="center"/>
          </w:tcPr>
          <w:p w:rsidRPr="00FD65E6" w:rsidR="00FD65E6" w:rsidP="00A87639" w:rsidRDefault="00FD65E6">
            <w:pPr>
              <w:rPr>
                <w:rFonts w:ascii="Arial" w:hAnsi="Arial" w:cs="Arial"/>
                <w:color w:val="000000"/>
                <w:sz w:val="26"/>
                <w:szCs w:val="26"/>
              </w:rPr>
            </w:pPr>
          </w:p>
        </w:tc>
        <w:tc>
          <w:tcPr>
            <w:tcW w:w="1418" w:type="dxa"/>
            <w:vAlign w:val="center"/>
          </w:tcPr>
          <w:p w:rsidRPr="00FD65E6" w:rsidR="00FD65E6" w:rsidP="00A87639" w:rsidRDefault="00FD65E6">
            <w:pPr>
              <w:jc w:val="right"/>
              <w:rPr>
                <w:rFonts w:ascii="Arial" w:hAnsi="Arial" w:cs="Arial"/>
                <w:color w:val="000000"/>
                <w:sz w:val="26"/>
                <w:szCs w:val="26"/>
              </w:rPr>
            </w:pPr>
          </w:p>
        </w:tc>
        <w:tc>
          <w:tcPr>
            <w:tcW w:w="1418" w:type="dxa"/>
            <w:vAlign w:val="center"/>
          </w:tcPr>
          <w:p w:rsidRPr="00FD65E6" w:rsidR="00FD65E6" w:rsidP="00A87639" w:rsidRDefault="00FD65E6">
            <w:pPr>
              <w:jc w:val="right"/>
              <w:rPr>
                <w:rFonts w:ascii="Arial" w:hAnsi="Arial" w:cs="Arial"/>
                <w:color w:val="000000"/>
                <w:sz w:val="26"/>
                <w:szCs w:val="26"/>
              </w:rPr>
            </w:pPr>
          </w:p>
        </w:tc>
      </w:tr>
      <w:tr w:rsidRPr="00AB7622" w:rsidR="00FD65E6" w:rsidTr="00A87639">
        <w:tc>
          <w:tcPr>
            <w:tcW w:w="5387" w:type="dxa"/>
            <w:vAlign w:val="center"/>
          </w:tcPr>
          <w:p w:rsidRPr="00FD65E6" w:rsidR="00FD65E6" w:rsidP="00A87639" w:rsidRDefault="00FD65E6">
            <w:pPr>
              <w:rPr>
                <w:rFonts w:ascii="Arial" w:hAnsi="Arial" w:cs="Arial"/>
                <w:color w:val="000000"/>
                <w:sz w:val="26"/>
                <w:szCs w:val="26"/>
              </w:rPr>
            </w:pPr>
            <w:r w:rsidRPr="00FD65E6">
              <w:rPr>
                <w:rFonts w:ascii="Arial" w:hAnsi="Arial" w:cs="Arial"/>
                <w:color w:val="000000"/>
                <w:sz w:val="26"/>
                <w:szCs w:val="26"/>
              </w:rPr>
              <w:t>Total Central School Services Block (£)</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4,515,989</w:t>
            </w:r>
          </w:p>
        </w:tc>
        <w:tc>
          <w:tcPr>
            <w:tcW w:w="1418" w:type="dxa"/>
            <w:vAlign w:val="center"/>
          </w:tcPr>
          <w:p w:rsidRPr="00FD65E6" w:rsidR="00FD65E6" w:rsidP="00A87639" w:rsidRDefault="00FD65E6">
            <w:pPr>
              <w:jc w:val="right"/>
              <w:rPr>
                <w:rFonts w:ascii="Arial" w:hAnsi="Arial" w:cs="Arial"/>
                <w:color w:val="000000"/>
                <w:sz w:val="26"/>
                <w:szCs w:val="26"/>
              </w:rPr>
            </w:pPr>
            <w:r w:rsidRPr="00FD65E6">
              <w:rPr>
                <w:rFonts w:ascii="Arial" w:hAnsi="Arial" w:cs="Arial"/>
                <w:color w:val="000000"/>
                <w:sz w:val="26"/>
                <w:szCs w:val="26"/>
              </w:rPr>
              <w:t>4,576,212</w:t>
            </w:r>
          </w:p>
        </w:tc>
      </w:tr>
    </w:tbl>
    <w:p w:rsidRPr="00AB7622" w:rsidR="00FD65E6" w:rsidP="00FD65E6" w:rsidRDefault="00FD65E6">
      <w:pPr>
        <w:rPr>
          <w:rStyle w:val="BookTitle"/>
          <w:rFonts w:cs="Arial"/>
          <w:b w:val="0"/>
          <w:bCs w:val="0"/>
          <w:i w:val="0"/>
          <w:iCs w:val="0"/>
        </w:rPr>
      </w:pPr>
    </w:p>
    <w:p w:rsidR="00FD65E6" w:rsidP="00FD65E6" w:rsidRDefault="00FD65E6">
      <w:pPr>
        <w:ind w:left="284"/>
        <w:rPr>
          <w:rFonts w:ascii="Arial" w:hAnsi="Arial"/>
          <w:bCs/>
          <w:iCs/>
          <w:sz w:val="26"/>
          <w:szCs w:val="26"/>
        </w:rPr>
      </w:pPr>
      <w:r w:rsidRPr="00E44EF0">
        <w:rPr>
          <w:rFonts w:ascii="Arial" w:hAnsi="Arial"/>
          <w:bCs/>
          <w:iCs/>
          <w:sz w:val="26"/>
          <w:szCs w:val="26"/>
        </w:rPr>
        <w:t xml:space="preserve">The 2019-20 CSSB shows a modest increase of £0.060m (+1.3%), the actual 2019-20 allocation will be updated to reflect October 2018 pupil numbers so the final increase may be around £0.100m.  </w:t>
      </w:r>
    </w:p>
    <w:p w:rsidR="00FD65E6" w:rsidP="00FD65E6" w:rsidRDefault="00FD65E6">
      <w:pPr>
        <w:ind w:left="284"/>
        <w:rPr>
          <w:rFonts w:ascii="Arial" w:hAnsi="Arial"/>
          <w:bCs/>
          <w:iCs/>
          <w:sz w:val="26"/>
          <w:szCs w:val="26"/>
        </w:rPr>
      </w:pPr>
    </w:p>
    <w:p w:rsidR="00A675D8" w:rsidP="00FD65E6" w:rsidRDefault="00FD65E6">
      <w:pPr>
        <w:ind w:left="284"/>
        <w:rPr>
          <w:rFonts w:ascii="Arial" w:hAnsi="Arial"/>
          <w:bCs/>
          <w:iCs/>
          <w:sz w:val="26"/>
          <w:szCs w:val="26"/>
        </w:rPr>
      </w:pPr>
      <w:r>
        <w:rPr>
          <w:rFonts w:ascii="Arial" w:hAnsi="Arial"/>
          <w:bCs/>
          <w:iCs/>
          <w:sz w:val="26"/>
          <w:szCs w:val="26"/>
        </w:rPr>
        <w:t>T</w:t>
      </w:r>
      <w:r w:rsidRPr="00E44EF0">
        <w:rPr>
          <w:rFonts w:ascii="Arial" w:hAnsi="Arial"/>
          <w:bCs/>
          <w:iCs/>
          <w:sz w:val="26"/>
          <w:szCs w:val="26"/>
        </w:rPr>
        <w:t>he DfE have signalled that LAs’ historic commitment allocations will start to be reduced from 2020-21 onwards</w:t>
      </w:r>
      <w:r>
        <w:rPr>
          <w:rFonts w:ascii="Arial" w:hAnsi="Arial"/>
          <w:bCs/>
          <w:iCs/>
          <w:sz w:val="26"/>
          <w:szCs w:val="26"/>
        </w:rPr>
        <w:t xml:space="preserve"> which </w:t>
      </w:r>
      <w:r w:rsidRPr="00E44EF0">
        <w:rPr>
          <w:rFonts w:ascii="Arial" w:hAnsi="Arial"/>
          <w:bCs/>
          <w:iCs/>
          <w:sz w:val="26"/>
          <w:szCs w:val="26"/>
        </w:rPr>
        <w:t>present</w:t>
      </w:r>
      <w:r>
        <w:rPr>
          <w:rFonts w:ascii="Arial" w:hAnsi="Arial"/>
          <w:bCs/>
          <w:iCs/>
          <w:sz w:val="26"/>
          <w:szCs w:val="26"/>
        </w:rPr>
        <w:t>s</w:t>
      </w:r>
      <w:r w:rsidRPr="00E44EF0">
        <w:rPr>
          <w:rFonts w:ascii="Arial" w:hAnsi="Arial"/>
          <w:bCs/>
          <w:iCs/>
          <w:sz w:val="26"/>
          <w:szCs w:val="26"/>
        </w:rPr>
        <w:t xml:space="preserve"> a significant future financial risk to the Council.</w:t>
      </w:r>
      <w:r w:rsidR="00A675D8">
        <w:rPr>
          <w:rFonts w:ascii="Arial" w:hAnsi="Arial"/>
          <w:bCs/>
          <w:iCs/>
          <w:sz w:val="26"/>
          <w:szCs w:val="26"/>
        </w:rPr>
        <w:t xml:space="preserve">  </w:t>
      </w:r>
    </w:p>
    <w:p w:rsidR="00A675D8" w:rsidP="00FD65E6" w:rsidRDefault="00A675D8">
      <w:pPr>
        <w:ind w:left="284"/>
        <w:rPr>
          <w:rFonts w:ascii="Arial" w:hAnsi="Arial"/>
          <w:bCs/>
          <w:iCs/>
          <w:sz w:val="26"/>
          <w:szCs w:val="26"/>
        </w:rPr>
      </w:pPr>
    </w:p>
    <w:p w:rsidRPr="009A56DE" w:rsidR="00FD65E6" w:rsidP="00FD65E6" w:rsidRDefault="00A675D8">
      <w:pPr>
        <w:ind w:left="284"/>
        <w:rPr>
          <w:rFonts w:ascii="Arial" w:hAnsi="Arial" w:cs="Arial"/>
          <w:sz w:val="26"/>
          <w:szCs w:val="26"/>
        </w:rPr>
      </w:pPr>
      <w:r>
        <w:rPr>
          <w:rFonts w:ascii="Arial" w:hAnsi="Arial"/>
          <w:bCs/>
          <w:iCs/>
          <w:sz w:val="26"/>
          <w:szCs w:val="26"/>
        </w:rPr>
        <w:t xml:space="preserve">In the event not all of the 2018-19 CSSB grant was allocated, there was an under-commitment of £0.046m. It is expected that </w:t>
      </w:r>
      <w:r w:rsidR="00A87639">
        <w:rPr>
          <w:rFonts w:ascii="Arial" w:hAnsi="Arial"/>
          <w:bCs/>
          <w:iCs/>
          <w:sz w:val="26"/>
          <w:szCs w:val="26"/>
        </w:rPr>
        <w:t>the 2019-20 CSSB will again be under committed</w:t>
      </w:r>
      <w:r w:rsidR="0091373F">
        <w:rPr>
          <w:rFonts w:ascii="Arial" w:hAnsi="Arial"/>
          <w:bCs/>
          <w:iCs/>
          <w:sz w:val="26"/>
          <w:szCs w:val="26"/>
        </w:rPr>
        <w:t xml:space="preserve"> by a similar sum</w:t>
      </w:r>
      <w:r w:rsidR="00A87639">
        <w:rPr>
          <w:rFonts w:ascii="Arial" w:hAnsi="Arial"/>
          <w:bCs/>
          <w:iCs/>
          <w:sz w:val="26"/>
          <w:szCs w:val="26"/>
        </w:rPr>
        <w:t xml:space="preserve">. </w:t>
      </w:r>
      <w:r w:rsidR="00FD65E6">
        <w:rPr>
          <w:rFonts w:ascii="Arial" w:hAnsi="Arial"/>
          <w:bCs/>
          <w:iCs/>
          <w:sz w:val="26"/>
          <w:szCs w:val="26"/>
        </w:rPr>
        <w:t>D</w:t>
      </w:r>
      <w:r w:rsidRPr="00E44EF0" w:rsidR="00FD65E6">
        <w:rPr>
          <w:rFonts w:ascii="Arial" w:hAnsi="Arial"/>
          <w:bCs/>
          <w:iCs/>
          <w:sz w:val="26"/>
          <w:szCs w:val="26"/>
        </w:rPr>
        <w:t>ecisions on CSSB spend in 2019-20 are</w:t>
      </w:r>
      <w:r w:rsidR="00FD65E6">
        <w:rPr>
          <w:rFonts w:ascii="Arial" w:hAnsi="Arial"/>
          <w:bCs/>
          <w:iCs/>
          <w:sz w:val="26"/>
          <w:szCs w:val="26"/>
        </w:rPr>
        <w:t xml:space="preserve"> a matter for the Schools Forum</w:t>
      </w:r>
      <w:r>
        <w:rPr>
          <w:rFonts w:ascii="Arial" w:hAnsi="Arial"/>
          <w:bCs/>
          <w:iCs/>
          <w:sz w:val="26"/>
          <w:szCs w:val="26"/>
        </w:rPr>
        <w:t>. It had originally been intended to bring a report to this meeting of the Forum. However, it is now intended that a report will come</w:t>
      </w:r>
      <w:r w:rsidR="0091373F">
        <w:rPr>
          <w:rFonts w:ascii="Arial" w:hAnsi="Arial"/>
          <w:bCs/>
          <w:iCs/>
          <w:sz w:val="26"/>
          <w:szCs w:val="26"/>
        </w:rPr>
        <w:t xml:space="preserve"> to the January meeting instead once the 2019-20 settlement is confirmed.</w:t>
      </w:r>
    </w:p>
    <w:p w:rsidR="00FD65E6" w:rsidP="00BC3352" w:rsidRDefault="00FD65E6">
      <w:pPr>
        <w:ind w:left="284"/>
        <w:rPr>
          <w:rFonts w:ascii="Arial" w:hAnsi="Arial" w:cs="Arial"/>
          <w:sz w:val="26"/>
          <w:szCs w:val="26"/>
        </w:rPr>
      </w:pPr>
    </w:p>
    <w:p w:rsidRPr="00A87639" w:rsidR="00A87639" w:rsidP="00A87639" w:rsidRDefault="00A87639">
      <w:pPr>
        <w:tabs>
          <w:tab w:val="left" w:pos="1134"/>
        </w:tabs>
        <w:ind w:left="284"/>
        <w:rPr>
          <w:rFonts w:ascii="Arial" w:hAnsi="Arial" w:cs="Arial"/>
          <w:b/>
          <w:sz w:val="26"/>
          <w:szCs w:val="26"/>
        </w:rPr>
      </w:pPr>
      <w:r w:rsidRPr="00A87639">
        <w:rPr>
          <w:rFonts w:ascii="Arial" w:hAnsi="Arial" w:cs="Arial"/>
          <w:b/>
          <w:sz w:val="26"/>
          <w:szCs w:val="26"/>
        </w:rPr>
        <w:t>2.6</w:t>
      </w:r>
      <w:r w:rsidRPr="00A87639">
        <w:rPr>
          <w:rFonts w:ascii="Arial" w:hAnsi="Arial" w:cs="Arial"/>
          <w:b/>
          <w:sz w:val="26"/>
          <w:szCs w:val="26"/>
        </w:rPr>
        <w:tab/>
      </w:r>
      <w:r w:rsidRPr="00A87639">
        <w:rPr>
          <w:rFonts w:ascii="Arial" w:hAnsi="Arial" w:cs="Arial"/>
          <w:b/>
          <w:sz w:val="26"/>
          <w:szCs w:val="26"/>
          <w:u w:val="single"/>
        </w:rPr>
        <w:t>Summary</w:t>
      </w:r>
    </w:p>
    <w:p w:rsidR="00A87639" w:rsidP="00BC3352" w:rsidRDefault="00A87639">
      <w:pPr>
        <w:ind w:left="284"/>
        <w:rPr>
          <w:rFonts w:ascii="Arial" w:hAnsi="Arial" w:cs="Arial"/>
          <w:sz w:val="26"/>
          <w:szCs w:val="26"/>
        </w:rPr>
      </w:pPr>
    </w:p>
    <w:p w:rsidR="00A87639" w:rsidP="00BC3352" w:rsidRDefault="00A87639">
      <w:pPr>
        <w:ind w:left="284"/>
        <w:rPr>
          <w:rFonts w:ascii="Arial" w:hAnsi="Arial" w:cs="Arial"/>
          <w:sz w:val="26"/>
          <w:szCs w:val="26"/>
        </w:rPr>
      </w:pPr>
      <w:r>
        <w:rPr>
          <w:rFonts w:ascii="Arial" w:hAnsi="Arial" w:cs="Arial"/>
          <w:sz w:val="26"/>
          <w:szCs w:val="26"/>
        </w:rPr>
        <w:t xml:space="preserve">Based on the figures in this report, the DSG </w:t>
      </w:r>
      <w:r w:rsidR="00B03599">
        <w:rPr>
          <w:rFonts w:ascii="Arial" w:hAnsi="Arial" w:cs="Arial"/>
          <w:sz w:val="26"/>
          <w:szCs w:val="26"/>
        </w:rPr>
        <w:t xml:space="preserve">general </w:t>
      </w:r>
      <w:r>
        <w:rPr>
          <w:rFonts w:ascii="Arial" w:hAnsi="Arial" w:cs="Arial"/>
          <w:sz w:val="26"/>
          <w:szCs w:val="26"/>
        </w:rPr>
        <w:t xml:space="preserve">reserves position </w:t>
      </w:r>
      <w:r w:rsidR="00B03599">
        <w:rPr>
          <w:rFonts w:ascii="Arial" w:hAnsi="Arial" w:cs="Arial"/>
          <w:sz w:val="26"/>
          <w:szCs w:val="26"/>
        </w:rPr>
        <w:t>at the end of 2019-20 could be as follows:</w:t>
      </w:r>
    </w:p>
    <w:p w:rsidR="00B03599" w:rsidP="00BC3352" w:rsidRDefault="00B03599">
      <w:pPr>
        <w:ind w:left="284"/>
        <w:rPr>
          <w:rFonts w:ascii="Arial" w:hAnsi="Arial" w:cs="Arial"/>
          <w:sz w:val="26"/>
          <w:szCs w:val="26"/>
        </w:rPr>
      </w:pPr>
    </w:p>
    <w:p w:rsidR="003A6DDA" w:rsidP="00BC3352" w:rsidRDefault="003A6DDA">
      <w:pPr>
        <w:ind w:left="284"/>
        <w:rPr>
          <w:rFonts w:ascii="Arial" w:hAnsi="Arial" w:cs="Arial"/>
          <w:sz w:val="26"/>
          <w:szCs w:val="26"/>
        </w:rPr>
      </w:pPr>
    </w:p>
    <w:p w:rsidR="00B03599" w:rsidP="00BC3352" w:rsidRDefault="00B03599">
      <w:pPr>
        <w:ind w:left="284"/>
        <w:rPr>
          <w:rFonts w:ascii="Arial" w:hAnsi="Arial" w:cs="Arial"/>
          <w:sz w:val="26"/>
          <w:szCs w:val="26"/>
        </w:rPr>
      </w:pPr>
    </w:p>
    <w:p w:rsidR="00B03599" w:rsidP="00BC3352" w:rsidRDefault="00B03599">
      <w:pPr>
        <w:ind w:left="284"/>
        <w:rPr>
          <w:rFonts w:ascii="Arial" w:hAnsi="Arial" w:cs="Arial"/>
          <w:sz w:val="26"/>
          <w:szCs w:val="26"/>
        </w:rPr>
      </w:pPr>
    </w:p>
    <w:p w:rsidR="00B03599" w:rsidP="00BC3352" w:rsidRDefault="00B03599">
      <w:pPr>
        <w:ind w:left="284"/>
        <w:rPr>
          <w:rFonts w:ascii="Arial" w:hAnsi="Arial" w:cs="Arial"/>
          <w:sz w:val="26"/>
          <w:szCs w:val="26"/>
        </w:rPr>
      </w:pPr>
    </w:p>
    <w:tbl>
      <w:tblPr>
        <w:tblStyle w:val="TableGrid"/>
        <w:tblW w:w="9214" w:type="dxa"/>
        <w:tblInd w:w="279" w:type="dxa"/>
        <w:tblLook w:val="04A0" w:firstRow="1" w:lastRow="0" w:firstColumn="1" w:lastColumn="0" w:noHBand="0" w:noVBand="1"/>
      </w:tblPr>
      <w:tblGrid>
        <w:gridCol w:w="7796"/>
        <w:gridCol w:w="1418"/>
      </w:tblGrid>
      <w:tr w:rsidRPr="00FD65E6" w:rsidR="0091373F" w:rsidTr="00152581">
        <w:tc>
          <w:tcPr>
            <w:tcW w:w="7796" w:type="dxa"/>
          </w:tcPr>
          <w:p w:rsidRPr="00FD65E6" w:rsidR="0091373F" w:rsidP="00AF67D5" w:rsidRDefault="0091373F">
            <w:pPr>
              <w:rPr>
                <w:rStyle w:val="BookTitle"/>
                <w:rFonts w:ascii="Arial" w:hAnsi="Arial" w:cs="Arial"/>
                <w:b w:val="0"/>
                <w:bCs w:val="0"/>
                <w:i w:val="0"/>
                <w:iCs w:val="0"/>
                <w:sz w:val="26"/>
                <w:szCs w:val="26"/>
              </w:rPr>
            </w:pPr>
          </w:p>
        </w:tc>
        <w:tc>
          <w:tcPr>
            <w:tcW w:w="1418" w:type="dxa"/>
          </w:tcPr>
          <w:p w:rsidRPr="00FD65E6" w:rsidR="0091373F" w:rsidP="00AF67D5" w:rsidRDefault="0091373F">
            <w:pPr>
              <w:jc w:val="right"/>
              <w:rPr>
                <w:rStyle w:val="BookTitle"/>
                <w:rFonts w:ascii="Arial" w:hAnsi="Arial" w:cs="Arial"/>
                <w:b w:val="0"/>
                <w:bCs w:val="0"/>
                <w:i w:val="0"/>
                <w:iCs w:val="0"/>
                <w:sz w:val="26"/>
                <w:szCs w:val="26"/>
              </w:rPr>
            </w:pPr>
            <w:r>
              <w:rPr>
                <w:rStyle w:val="BookTitle"/>
                <w:rFonts w:ascii="Arial" w:hAnsi="Arial" w:cs="Arial"/>
                <w:b w:val="0"/>
                <w:bCs w:val="0"/>
                <w:i w:val="0"/>
                <w:iCs w:val="0"/>
                <w:sz w:val="26"/>
                <w:szCs w:val="26"/>
              </w:rPr>
              <w:t>£m</w:t>
            </w:r>
          </w:p>
        </w:tc>
      </w:tr>
      <w:tr w:rsidRPr="00FD65E6" w:rsidR="0091373F" w:rsidTr="00152581">
        <w:tc>
          <w:tcPr>
            <w:tcW w:w="7796" w:type="dxa"/>
          </w:tcPr>
          <w:p w:rsidRPr="00FD65E6" w:rsidR="0091373F" w:rsidP="003C4E68" w:rsidRDefault="0091373F">
            <w:pPr>
              <w:rPr>
                <w:rStyle w:val="BookTitle"/>
                <w:rFonts w:ascii="Arial" w:hAnsi="Arial" w:cs="Arial"/>
                <w:b w:val="0"/>
                <w:bCs w:val="0"/>
                <w:i w:val="0"/>
                <w:iCs w:val="0"/>
                <w:sz w:val="26"/>
                <w:szCs w:val="26"/>
              </w:rPr>
            </w:pPr>
            <w:r>
              <w:rPr>
                <w:rStyle w:val="BookTitle"/>
                <w:rFonts w:ascii="Arial" w:hAnsi="Arial" w:cs="Arial"/>
                <w:b w:val="0"/>
                <w:bCs w:val="0"/>
                <w:i w:val="0"/>
                <w:iCs w:val="0"/>
                <w:sz w:val="26"/>
                <w:szCs w:val="26"/>
              </w:rPr>
              <w:t>201</w:t>
            </w:r>
            <w:r w:rsidR="003C4E68">
              <w:rPr>
                <w:rStyle w:val="BookTitle"/>
                <w:rFonts w:ascii="Arial" w:hAnsi="Arial" w:cs="Arial"/>
                <w:b w:val="0"/>
                <w:bCs w:val="0"/>
                <w:i w:val="0"/>
                <w:iCs w:val="0"/>
                <w:sz w:val="26"/>
                <w:szCs w:val="26"/>
              </w:rPr>
              <w:t>9</w:t>
            </w:r>
            <w:r>
              <w:rPr>
                <w:rStyle w:val="BookTitle"/>
                <w:rFonts w:ascii="Arial" w:hAnsi="Arial" w:cs="Arial"/>
                <w:b w:val="0"/>
                <w:bCs w:val="0"/>
                <w:i w:val="0"/>
                <w:iCs w:val="0"/>
                <w:sz w:val="26"/>
                <w:szCs w:val="26"/>
              </w:rPr>
              <w:t>-</w:t>
            </w:r>
            <w:r w:rsidR="003C4E68">
              <w:rPr>
                <w:rStyle w:val="BookTitle"/>
                <w:rFonts w:ascii="Arial" w:hAnsi="Arial" w:cs="Arial"/>
                <w:b w:val="0"/>
                <w:bCs w:val="0"/>
                <w:i w:val="0"/>
                <w:iCs w:val="0"/>
                <w:sz w:val="26"/>
                <w:szCs w:val="26"/>
              </w:rPr>
              <w:t>20</w:t>
            </w:r>
            <w:r>
              <w:rPr>
                <w:rStyle w:val="BookTitle"/>
                <w:rFonts w:ascii="Arial" w:hAnsi="Arial" w:cs="Arial"/>
                <w:b w:val="0"/>
                <w:bCs w:val="0"/>
                <w:i w:val="0"/>
                <w:iCs w:val="0"/>
                <w:sz w:val="26"/>
                <w:szCs w:val="26"/>
              </w:rPr>
              <w:t xml:space="preserve"> forecast overspend</w:t>
            </w:r>
            <w:r w:rsidR="003C4E68">
              <w:rPr>
                <w:rStyle w:val="BookTitle"/>
                <w:rFonts w:ascii="Arial" w:hAnsi="Arial" w:cs="Arial"/>
                <w:b w:val="0"/>
                <w:bCs w:val="0"/>
                <w:i w:val="0"/>
                <w:iCs w:val="0"/>
                <w:sz w:val="26"/>
                <w:szCs w:val="26"/>
              </w:rPr>
              <w:t xml:space="preserve"> (based on 2018-19)</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2.198</w:t>
            </w:r>
          </w:p>
        </w:tc>
      </w:tr>
      <w:tr w:rsidRPr="00FD65E6" w:rsidR="0091373F" w:rsidTr="00152581">
        <w:tc>
          <w:tcPr>
            <w:tcW w:w="7796" w:type="dxa"/>
          </w:tcPr>
          <w:p w:rsidRPr="00FD65E6" w:rsidR="0091373F" w:rsidP="00D42DFA" w:rsidRDefault="0091373F">
            <w:pPr>
              <w:rPr>
                <w:rStyle w:val="BookTitle"/>
                <w:rFonts w:ascii="Arial" w:hAnsi="Arial" w:cs="Arial"/>
                <w:b w:val="0"/>
                <w:bCs w:val="0"/>
                <w:i w:val="0"/>
                <w:iCs w:val="0"/>
                <w:sz w:val="26"/>
                <w:szCs w:val="26"/>
              </w:rPr>
            </w:pPr>
            <w:r>
              <w:rPr>
                <w:rStyle w:val="BookTitle"/>
                <w:rFonts w:ascii="Arial" w:hAnsi="Arial" w:cs="Arial"/>
                <w:b w:val="0"/>
                <w:bCs w:val="0"/>
                <w:i w:val="0"/>
                <w:iCs w:val="0"/>
                <w:sz w:val="26"/>
                <w:szCs w:val="26"/>
              </w:rPr>
              <w:t>2018-19 reliance on reserves</w:t>
            </w:r>
          </w:p>
        </w:tc>
        <w:tc>
          <w:tcPr>
            <w:tcW w:w="1418" w:type="dxa"/>
          </w:tcPr>
          <w:p w:rsidRPr="00FD65E6" w:rsidR="0091373F" w:rsidP="00AF67D5" w:rsidRDefault="0091373F">
            <w:pPr>
              <w:jc w:val="right"/>
              <w:rPr>
                <w:rStyle w:val="BookTitle"/>
                <w:rFonts w:ascii="Arial" w:hAnsi="Arial" w:cs="Arial"/>
                <w:b w:val="0"/>
                <w:bCs w:val="0"/>
                <w:i w:val="0"/>
                <w:iCs w:val="0"/>
                <w:color w:val="000000"/>
                <w:sz w:val="26"/>
                <w:szCs w:val="26"/>
              </w:rPr>
            </w:pPr>
            <w:r>
              <w:rPr>
                <w:rStyle w:val="BookTitle"/>
                <w:rFonts w:ascii="Arial" w:hAnsi="Arial" w:cs="Arial"/>
                <w:b w:val="0"/>
                <w:bCs w:val="0"/>
                <w:i w:val="0"/>
                <w:iCs w:val="0"/>
                <w:color w:val="000000"/>
                <w:sz w:val="26"/>
                <w:szCs w:val="26"/>
              </w:rPr>
              <w:t>1.210</w:t>
            </w:r>
          </w:p>
        </w:tc>
      </w:tr>
      <w:tr w:rsidRPr="00FD65E6" w:rsidR="0091373F" w:rsidTr="00152581">
        <w:tc>
          <w:tcPr>
            <w:tcW w:w="7796" w:type="dxa"/>
          </w:tcPr>
          <w:p w:rsidRPr="00FD65E6" w:rsidR="0091373F" w:rsidP="003C4E68" w:rsidRDefault="0091373F">
            <w:pPr>
              <w:rPr>
                <w:rStyle w:val="BookTitle"/>
                <w:rFonts w:ascii="Arial" w:hAnsi="Arial" w:cs="Arial"/>
                <w:b w:val="0"/>
                <w:bCs w:val="0"/>
                <w:i w:val="0"/>
                <w:iCs w:val="0"/>
                <w:sz w:val="26"/>
                <w:szCs w:val="26"/>
              </w:rPr>
            </w:pPr>
            <w:r>
              <w:rPr>
                <w:rStyle w:val="BookTitle"/>
                <w:rFonts w:ascii="Arial" w:hAnsi="Arial" w:cs="Arial"/>
                <w:b w:val="0"/>
                <w:bCs w:val="0"/>
                <w:i w:val="0"/>
                <w:iCs w:val="0"/>
                <w:sz w:val="26"/>
                <w:szCs w:val="26"/>
              </w:rPr>
              <w:t>Sub total</w:t>
            </w:r>
            <w:r w:rsidR="003C4E68">
              <w:rPr>
                <w:rStyle w:val="BookTitle"/>
                <w:rFonts w:ascii="Arial" w:hAnsi="Arial" w:cs="Arial"/>
                <w:b w:val="0"/>
                <w:bCs w:val="0"/>
                <w:i w:val="0"/>
                <w:iCs w:val="0"/>
                <w:sz w:val="26"/>
                <w:szCs w:val="26"/>
              </w:rPr>
              <w:t xml:space="preserve">: 2019-20 </w:t>
            </w:r>
            <w:r>
              <w:rPr>
                <w:rStyle w:val="BookTitle"/>
                <w:rFonts w:ascii="Arial" w:hAnsi="Arial" w:cs="Arial"/>
                <w:b w:val="0"/>
                <w:bCs w:val="0"/>
                <w:i w:val="0"/>
                <w:iCs w:val="0"/>
                <w:sz w:val="26"/>
                <w:szCs w:val="26"/>
              </w:rPr>
              <w:t>shortfall excluding impact of new pressures</w:t>
            </w:r>
          </w:p>
        </w:tc>
        <w:tc>
          <w:tcPr>
            <w:tcW w:w="1418" w:type="dxa"/>
          </w:tcPr>
          <w:p w:rsidRPr="00FD65E6" w:rsidR="0091373F" w:rsidP="0091373F" w:rsidRDefault="0091373F">
            <w:pPr>
              <w:jc w:val="right"/>
              <w:rPr>
                <w:rStyle w:val="BookTitle"/>
                <w:rFonts w:ascii="Arial" w:hAnsi="Arial" w:cs="Arial"/>
                <w:b w:val="0"/>
                <w:bCs w:val="0"/>
                <w:i w:val="0"/>
                <w:iCs w:val="0"/>
                <w:sz w:val="26"/>
                <w:szCs w:val="26"/>
              </w:rPr>
            </w:pPr>
            <w:r>
              <w:rPr>
                <w:rStyle w:val="BookTitle"/>
                <w:rFonts w:ascii="Arial" w:hAnsi="Arial" w:cs="Arial"/>
                <w:b w:val="0"/>
                <w:bCs w:val="0"/>
                <w:i w:val="0"/>
                <w:iCs w:val="0"/>
                <w:sz w:val="26"/>
                <w:szCs w:val="26"/>
              </w:rPr>
              <w:t>3.408</w:t>
            </w: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r>
              <w:rPr>
                <w:rFonts w:ascii="Arial" w:hAnsi="Arial" w:cs="Arial"/>
                <w:color w:val="000000"/>
                <w:sz w:val="26"/>
                <w:szCs w:val="26"/>
              </w:rPr>
              <w:t>Less:</w:t>
            </w:r>
          </w:p>
        </w:tc>
        <w:tc>
          <w:tcPr>
            <w:tcW w:w="1418" w:type="dxa"/>
            <w:vAlign w:val="center"/>
          </w:tcPr>
          <w:p w:rsidRPr="00FD65E6" w:rsidR="0091373F" w:rsidP="00AF67D5" w:rsidRDefault="0091373F">
            <w:pPr>
              <w:jc w:val="right"/>
              <w:rPr>
                <w:rFonts w:ascii="Arial" w:hAnsi="Arial" w:cs="Arial"/>
                <w:color w:val="000000"/>
                <w:sz w:val="26"/>
                <w:szCs w:val="26"/>
              </w:rPr>
            </w:pP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r>
              <w:rPr>
                <w:rFonts w:ascii="Arial" w:hAnsi="Arial" w:cs="Arial"/>
                <w:color w:val="000000"/>
                <w:sz w:val="26"/>
                <w:szCs w:val="26"/>
              </w:rPr>
              <w:t>Schools Block – unallocated funds</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(0.291)</w:t>
            </w: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r>
              <w:rPr>
                <w:rFonts w:ascii="Arial" w:hAnsi="Arial" w:cs="Arial"/>
                <w:color w:val="000000"/>
                <w:sz w:val="26"/>
                <w:szCs w:val="26"/>
              </w:rPr>
              <w:t>Remove early years reliance on reserves</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(0.491)</w:t>
            </w: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r>
              <w:rPr>
                <w:rFonts w:ascii="Arial" w:hAnsi="Arial" w:cs="Arial"/>
                <w:color w:val="000000"/>
                <w:sz w:val="26"/>
                <w:szCs w:val="26"/>
              </w:rPr>
              <w:t>High Needs Block measures</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(1.000)</w:t>
            </w: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r>
              <w:rPr>
                <w:rFonts w:ascii="Arial" w:hAnsi="Arial" w:cs="Arial"/>
                <w:color w:val="000000"/>
                <w:sz w:val="26"/>
                <w:szCs w:val="26"/>
              </w:rPr>
              <w:t>Central School Services Block – unallocated funds</w:t>
            </w:r>
          </w:p>
        </w:tc>
        <w:tc>
          <w:tcPr>
            <w:tcW w:w="1418" w:type="dxa"/>
            <w:vAlign w:val="center"/>
          </w:tcPr>
          <w:p w:rsidRPr="00FD65E6" w:rsidR="0091373F" w:rsidP="0091373F" w:rsidRDefault="0091373F">
            <w:pPr>
              <w:jc w:val="right"/>
              <w:rPr>
                <w:rFonts w:ascii="Arial" w:hAnsi="Arial" w:cs="Arial"/>
                <w:color w:val="000000"/>
                <w:sz w:val="26"/>
                <w:szCs w:val="26"/>
              </w:rPr>
            </w:pPr>
            <w:r>
              <w:rPr>
                <w:rFonts w:ascii="Arial" w:hAnsi="Arial" w:cs="Arial"/>
                <w:color w:val="000000"/>
                <w:sz w:val="26"/>
                <w:szCs w:val="26"/>
              </w:rPr>
              <w:t>(0.046)</w:t>
            </w:r>
          </w:p>
        </w:tc>
      </w:tr>
      <w:tr w:rsidRPr="00FD65E6" w:rsidR="0091373F" w:rsidTr="00152581">
        <w:tc>
          <w:tcPr>
            <w:tcW w:w="7796" w:type="dxa"/>
            <w:vAlign w:val="center"/>
          </w:tcPr>
          <w:p w:rsidRPr="00FD65E6" w:rsidR="0091373F" w:rsidP="00D42DFA" w:rsidRDefault="00D42DFA">
            <w:pPr>
              <w:rPr>
                <w:rFonts w:ascii="Arial" w:hAnsi="Arial" w:cs="Arial"/>
                <w:color w:val="000000"/>
                <w:sz w:val="26"/>
                <w:szCs w:val="26"/>
              </w:rPr>
            </w:pPr>
            <w:r>
              <w:rPr>
                <w:rFonts w:ascii="Arial" w:hAnsi="Arial" w:cs="Arial"/>
                <w:color w:val="000000"/>
                <w:sz w:val="26"/>
                <w:szCs w:val="26"/>
              </w:rPr>
              <w:t xml:space="preserve">Subtotal: </w:t>
            </w:r>
            <w:r w:rsidR="0091373F">
              <w:rPr>
                <w:rFonts w:ascii="Arial" w:hAnsi="Arial" w:cs="Arial"/>
                <w:color w:val="000000"/>
                <w:sz w:val="26"/>
                <w:szCs w:val="26"/>
              </w:rPr>
              <w:t>measures to reduce overspend</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(1.828)</w:t>
            </w:r>
          </w:p>
        </w:tc>
      </w:tr>
      <w:tr w:rsidRPr="00FD65E6" w:rsidR="0091373F" w:rsidTr="00152581">
        <w:tc>
          <w:tcPr>
            <w:tcW w:w="7796" w:type="dxa"/>
            <w:vAlign w:val="center"/>
          </w:tcPr>
          <w:p w:rsidRPr="00FD65E6" w:rsidR="0091373F" w:rsidP="003C4E68" w:rsidRDefault="003C4E68">
            <w:pPr>
              <w:rPr>
                <w:rFonts w:ascii="Arial" w:hAnsi="Arial" w:cs="Arial"/>
                <w:color w:val="000000"/>
                <w:sz w:val="26"/>
                <w:szCs w:val="26"/>
              </w:rPr>
            </w:pPr>
            <w:r>
              <w:rPr>
                <w:rFonts w:ascii="Arial" w:hAnsi="Arial" w:cs="Arial"/>
                <w:color w:val="000000"/>
                <w:sz w:val="26"/>
                <w:szCs w:val="26"/>
              </w:rPr>
              <w:t>Potential n</w:t>
            </w:r>
            <w:r w:rsidR="0091373F">
              <w:rPr>
                <w:rFonts w:ascii="Arial" w:hAnsi="Arial" w:cs="Arial"/>
                <w:color w:val="000000"/>
                <w:sz w:val="26"/>
                <w:szCs w:val="26"/>
              </w:rPr>
              <w:t>et 2019-20 overspend</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1.580</w:t>
            </w:r>
          </w:p>
        </w:tc>
      </w:tr>
      <w:tr w:rsidRPr="00FD65E6" w:rsidR="0091373F" w:rsidTr="00152581">
        <w:tc>
          <w:tcPr>
            <w:tcW w:w="7796" w:type="dxa"/>
            <w:vAlign w:val="center"/>
          </w:tcPr>
          <w:p w:rsidRPr="00FD65E6" w:rsidR="0091373F" w:rsidP="00AF67D5" w:rsidRDefault="0091373F">
            <w:pPr>
              <w:rPr>
                <w:rFonts w:ascii="Arial" w:hAnsi="Arial" w:cs="Arial"/>
                <w:color w:val="000000"/>
                <w:sz w:val="26"/>
                <w:szCs w:val="26"/>
              </w:rPr>
            </w:pPr>
          </w:p>
        </w:tc>
        <w:tc>
          <w:tcPr>
            <w:tcW w:w="1418" w:type="dxa"/>
            <w:vAlign w:val="center"/>
          </w:tcPr>
          <w:p w:rsidRPr="00FD65E6" w:rsidR="0091373F" w:rsidP="00AF67D5" w:rsidRDefault="0091373F">
            <w:pPr>
              <w:jc w:val="right"/>
              <w:rPr>
                <w:rFonts w:ascii="Arial" w:hAnsi="Arial" w:cs="Arial"/>
                <w:color w:val="000000"/>
                <w:sz w:val="26"/>
                <w:szCs w:val="26"/>
              </w:rPr>
            </w:pPr>
          </w:p>
        </w:tc>
      </w:tr>
      <w:tr w:rsidRPr="00FD65E6" w:rsidR="0091373F" w:rsidTr="00152581">
        <w:tc>
          <w:tcPr>
            <w:tcW w:w="7796" w:type="dxa"/>
            <w:vAlign w:val="center"/>
          </w:tcPr>
          <w:p w:rsidRPr="00FD65E6" w:rsidR="0091373F" w:rsidP="0091373F" w:rsidRDefault="0091373F">
            <w:pPr>
              <w:rPr>
                <w:rFonts w:ascii="Arial" w:hAnsi="Arial" w:cs="Arial"/>
                <w:color w:val="000000"/>
                <w:sz w:val="26"/>
                <w:szCs w:val="26"/>
              </w:rPr>
            </w:pPr>
            <w:r>
              <w:rPr>
                <w:rFonts w:ascii="Arial" w:hAnsi="Arial" w:cs="Arial"/>
                <w:color w:val="000000"/>
                <w:sz w:val="26"/>
                <w:szCs w:val="26"/>
              </w:rPr>
              <w:t>Estimated DSG reserves 31 March 2019</w:t>
            </w:r>
          </w:p>
        </w:tc>
        <w:tc>
          <w:tcPr>
            <w:tcW w:w="1418" w:type="dxa"/>
            <w:vAlign w:val="center"/>
          </w:tcPr>
          <w:p w:rsidRPr="00FD65E6" w:rsidR="0091373F" w:rsidP="00AF67D5" w:rsidRDefault="0091373F">
            <w:pPr>
              <w:jc w:val="right"/>
              <w:rPr>
                <w:rFonts w:ascii="Arial" w:hAnsi="Arial" w:cs="Arial"/>
                <w:color w:val="000000"/>
                <w:sz w:val="26"/>
                <w:szCs w:val="26"/>
              </w:rPr>
            </w:pPr>
            <w:r>
              <w:rPr>
                <w:rFonts w:ascii="Arial" w:hAnsi="Arial" w:cs="Arial"/>
                <w:color w:val="000000"/>
                <w:sz w:val="26"/>
                <w:szCs w:val="26"/>
              </w:rPr>
              <w:t>2.783</w:t>
            </w:r>
          </w:p>
        </w:tc>
      </w:tr>
      <w:tr w:rsidRPr="00FD65E6" w:rsidR="0091373F" w:rsidTr="00152581">
        <w:tc>
          <w:tcPr>
            <w:tcW w:w="7796" w:type="dxa"/>
            <w:vAlign w:val="center"/>
          </w:tcPr>
          <w:p w:rsidRPr="00FD65E6" w:rsidR="0091373F" w:rsidP="0091373F" w:rsidRDefault="0091373F">
            <w:pPr>
              <w:rPr>
                <w:rFonts w:ascii="Arial" w:hAnsi="Arial" w:cs="Arial"/>
                <w:color w:val="000000"/>
                <w:sz w:val="26"/>
                <w:szCs w:val="26"/>
              </w:rPr>
            </w:pPr>
            <w:r>
              <w:rPr>
                <w:rFonts w:ascii="Arial" w:hAnsi="Arial" w:cs="Arial"/>
                <w:color w:val="000000"/>
                <w:sz w:val="26"/>
                <w:szCs w:val="26"/>
              </w:rPr>
              <w:t>Estimated DSG reserves 31 March 2020</w:t>
            </w:r>
          </w:p>
        </w:tc>
        <w:tc>
          <w:tcPr>
            <w:tcW w:w="1418" w:type="dxa"/>
            <w:vAlign w:val="center"/>
          </w:tcPr>
          <w:p w:rsidRPr="00FD65E6" w:rsidR="0091373F" w:rsidP="0091373F" w:rsidRDefault="0091373F">
            <w:pPr>
              <w:jc w:val="right"/>
              <w:rPr>
                <w:rFonts w:ascii="Arial" w:hAnsi="Arial" w:cs="Arial"/>
                <w:color w:val="000000"/>
                <w:sz w:val="26"/>
                <w:szCs w:val="26"/>
              </w:rPr>
            </w:pPr>
            <w:r>
              <w:rPr>
                <w:rFonts w:ascii="Arial" w:hAnsi="Arial" w:cs="Arial"/>
                <w:color w:val="000000"/>
                <w:sz w:val="26"/>
                <w:szCs w:val="26"/>
              </w:rPr>
              <w:t>1.203</w:t>
            </w:r>
          </w:p>
        </w:tc>
      </w:tr>
    </w:tbl>
    <w:p w:rsidR="00B03599" w:rsidP="00BC3352" w:rsidRDefault="00B03599">
      <w:pPr>
        <w:ind w:left="284"/>
        <w:rPr>
          <w:rFonts w:ascii="Arial" w:hAnsi="Arial" w:cs="Arial"/>
          <w:sz w:val="26"/>
          <w:szCs w:val="26"/>
        </w:rPr>
      </w:pPr>
    </w:p>
    <w:p w:rsidR="00152581" w:rsidP="00BC3352" w:rsidRDefault="0091373F">
      <w:pPr>
        <w:ind w:left="284"/>
        <w:rPr>
          <w:rFonts w:ascii="Arial" w:hAnsi="Arial" w:cs="Arial"/>
          <w:sz w:val="26"/>
          <w:szCs w:val="26"/>
        </w:rPr>
      </w:pPr>
      <w:r>
        <w:rPr>
          <w:rFonts w:ascii="Arial" w:hAnsi="Arial" w:cs="Arial"/>
          <w:sz w:val="26"/>
          <w:szCs w:val="26"/>
        </w:rPr>
        <w:t>The estimated reserves at 31 March 2020 would be insufficient to provide a buffer for any major increase</w:t>
      </w:r>
      <w:r w:rsidR="003C4E68">
        <w:rPr>
          <w:rFonts w:ascii="Arial" w:hAnsi="Arial" w:cs="Arial"/>
          <w:sz w:val="26"/>
          <w:szCs w:val="26"/>
        </w:rPr>
        <w:t>s</w:t>
      </w:r>
      <w:r>
        <w:rPr>
          <w:rFonts w:ascii="Arial" w:hAnsi="Arial" w:cs="Arial"/>
          <w:sz w:val="26"/>
          <w:szCs w:val="26"/>
        </w:rPr>
        <w:t xml:space="preserve"> in costs</w:t>
      </w:r>
      <w:r w:rsidR="00152581">
        <w:rPr>
          <w:rFonts w:ascii="Arial" w:hAnsi="Arial" w:cs="Arial"/>
          <w:sz w:val="26"/>
          <w:szCs w:val="26"/>
        </w:rPr>
        <w:t xml:space="preserve"> and any deficit would have to be recovered from future years’ DSG allocations</w:t>
      </w:r>
      <w:r w:rsidR="00337B2E">
        <w:rPr>
          <w:rFonts w:ascii="Arial" w:hAnsi="Arial" w:cs="Arial"/>
          <w:sz w:val="26"/>
          <w:szCs w:val="26"/>
        </w:rPr>
        <w:t xml:space="preserve">. </w:t>
      </w:r>
    </w:p>
    <w:p w:rsidR="00152581" w:rsidP="00BC3352" w:rsidRDefault="00152581">
      <w:pPr>
        <w:ind w:left="284"/>
        <w:rPr>
          <w:rFonts w:ascii="Arial" w:hAnsi="Arial" w:cs="Arial"/>
          <w:sz w:val="26"/>
          <w:szCs w:val="26"/>
        </w:rPr>
      </w:pPr>
    </w:p>
    <w:p w:rsidR="00D42DFA" w:rsidP="00BC3352" w:rsidRDefault="003C4E68">
      <w:pPr>
        <w:ind w:left="284"/>
        <w:rPr>
          <w:rFonts w:ascii="Arial" w:hAnsi="Arial" w:cs="Arial"/>
          <w:sz w:val="26"/>
          <w:szCs w:val="26"/>
        </w:rPr>
      </w:pPr>
      <w:r>
        <w:rPr>
          <w:rFonts w:ascii="Arial" w:hAnsi="Arial" w:cs="Arial"/>
          <w:sz w:val="26"/>
          <w:szCs w:val="26"/>
        </w:rPr>
        <w:t xml:space="preserve">The </w:t>
      </w:r>
      <w:r w:rsidR="00337B2E">
        <w:rPr>
          <w:rFonts w:ascii="Arial" w:hAnsi="Arial" w:cs="Arial"/>
          <w:sz w:val="26"/>
          <w:szCs w:val="26"/>
        </w:rPr>
        <w:t xml:space="preserve">2020-21 </w:t>
      </w:r>
      <w:r>
        <w:rPr>
          <w:rFonts w:ascii="Arial" w:hAnsi="Arial" w:cs="Arial"/>
          <w:sz w:val="26"/>
          <w:szCs w:val="26"/>
        </w:rPr>
        <w:t>f</w:t>
      </w:r>
      <w:r>
        <w:rPr>
          <w:rFonts w:ascii="Arial" w:hAnsi="Arial" w:cs="Arial"/>
          <w:sz w:val="26"/>
          <w:szCs w:val="26"/>
        </w:rPr>
        <w:t xml:space="preserve">inancial year </w:t>
      </w:r>
      <w:r w:rsidR="00337B2E">
        <w:rPr>
          <w:rFonts w:ascii="Arial" w:hAnsi="Arial" w:cs="Arial"/>
          <w:sz w:val="26"/>
          <w:szCs w:val="26"/>
        </w:rPr>
        <w:t xml:space="preserve">will be the first year of the next Comprehensive </w:t>
      </w:r>
      <w:r>
        <w:rPr>
          <w:rFonts w:ascii="Arial" w:hAnsi="Arial" w:cs="Arial"/>
          <w:sz w:val="26"/>
          <w:szCs w:val="26"/>
        </w:rPr>
        <w:t>Spending R</w:t>
      </w:r>
      <w:r w:rsidR="00337B2E">
        <w:rPr>
          <w:rFonts w:ascii="Arial" w:hAnsi="Arial" w:cs="Arial"/>
          <w:sz w:val="26"/>
          <w:szCs w:val="26"/>
        </w:rPr>
        <w:t>eview</w:t>
      </w:r>
      <w:r>
        <w:rPr>
          <w:rFonts w:ascii="Arial" w:hAnsi="Arial" w:cs="Arial"/>
          <w:sz w:val="26"/>
          <w:szCs w:val="26"/>
        </w:rPr>
        <w:t xml:space="preserve"> (CSR)</w:t>
      </w:r>
      <w:r w:rsidR="00337B2E">
        <w:rPr>
          <w:rFonts w:ascii="Arial" w:hAnsi="Arial" w:cs="Arial"/>
          <w:sz w:val="26"/>
          <w:szCs w:val="26"/>
        </w:rPr>
        <w:t xml:space="preserve">. If </w:t>
      </w:r>
      <w:r>
        <w:rPr>
          <w:rFonts w:ascii="Arial" w:hAnsi="Arial" w:cs="Arial"/>
          <w:sz w:val="26"/>
          <w:szCs w:val="26"/>
        </w:rPr>
        <w:t xml:space="preserve">the CSR does not provide additional DSG-related </w:t>
      </w:r>
      <w:r w:rsidR="00152581">
        <w:rPr>
          <w:rFonts w:ascii="Arial" w:hAnsi="Arial" w:cs="Arial"/>
          <w:sz w:val="26"/>
          <w:szCs w:val="26"/>
        </w:rPr>
        <w:t xml:space="preserve">funding </w:t>
      </w:r>
      <w:r>
        <w:rPr>
          <w:rFonts w:ascii="Arial" w:hAnsi="Arial" w:cs="Arial"/>
          <w:sz w:val="26"/>
          <w:szCs w:val="26"/>
        </w:rPr>
        <w:t>the</w:t>
      </w:r>
      <w:r w:rsidR="00D42DFA">
        <w:rPr>
          <w:rFonts w:ascii="Arial" w:hAnsi="Arial" w:cs="Arial"/>
          <w:sz w:val="26"/>
          <w:szCs w:val="26"/>
        </w:rPr>
        <w:t>n,</w:t>
      </w:r>
      <w:r>
        <w:rPr>
          <w:rFonts w:ascii="Arial" w:hAnsi="Arial" w:cs="Arial"/>
          <w:sz w:val="26"/>
          <w:szCs w:val="26"/>
        </w:rPr>
        <w:t xml:space="preserve"> in order </w:t>
      </w:r>
      <w:r>
        <w:rPr>
          <w:rFonts w:ascii="Arial" w:hAnsi="Arial" w:cs="Arial"/>
          <w:sz w:val="26"/>
          <w:szCs w:val="26"/>
        </w:rPr>
        <w:t>to avoid the DSG going into deficit</w:t>
      </w:r>
      <w:r w:rsidR="00D42DFA">
        <w:rPr>
          <w:rFonts w:ascii="Arial" w:hAnsi="Arial" w:cs="Arial"/>
          <w:sz w:val="26"/>
          <w:szCs w:val="26"/>
        </w:rPr>
        <w:t>,</w:t>
      </w:r>
      <w:r>
        <w:rPr>
          <w:rFonts w:ascii="Arial" w:hAnsi="Arial" w:cs="Arial"/>
          <w:sz w:val="26"/>
          <w:szCs w:val="26"/>
        </w:rPr>
        <w:t xml:space="preserve"> </w:t>
      </w:r>
      <w:r w:rsidR="00337B2E">
        <w:rPr>
          <w:rFonts w:ascii="Arial" w:hAnsi="Arial" w:cs="Arial"/>
          <w:sz w:val="26"/>
          <w:szCs w:val="26"/>
        </w:rPr>
        <w:t>either further savings will be required</w:t>
      </w:r>
      <w:r>
        <w:rPr>
          <w:rFonts w:ascii="Arial" w:hAnsi="Arial" w:cs="Arial"/>
          <w:sz w:val="26"/>
          <w:szCs w:val="26"/>
        </w:rPr>
        <w:t>, particularly in the High Needs Block</w:t>
      </w:r>
      <w:r w:rsidR="00152581">
        <w:rPr>
          <w:rFonts w:ascii="Arial" w:hAnsi="Arial" w:cs="Arial"/>
          <w:sz w:val="26"/>
          <w:szCs w:val="26"/>
        </w:rPr>
        <w:t>,</w:t>
      </w:r>
      <w:r>
        <w:rPr>
          <w:rFonts w:ascii="Arial" w:hAnsi="Arial" w:cs="Arial"/>
          <w:sz w:val="26"/>
          <w:szCs w:val="26"/>
        </w:rPr>
        <w:t xml:space="preserve"> and/</w:t>
      </w:r>
      <w:r w:rsidR="00337B2E">
        <w:rPr>
          <w:rFonts w:ascii="Arial" w:hAnsi="Arial" w:cs="Arial"/>
          <w:sz w:val="26"/>
          <w:szCs w:val="26"/>
        </w:rPr>
        <w:t xml:space="preserve">or </w:t>
      </w:r>
      <w:r>
        <w:rPr>
          <w:rFonts w:ascii="Arial" w:hAnsi="Arial" w:cs="Arial"/>
          <w:sz w:val="26"/>
          <w:szCs w:val="26"/>
        </w:rPr>
        <w:t xml:space="preserve">resources would </w:t>
      </w:r>
      <w:r w:rsidR="00337B2E">
        <w:rPr>
          <w:rFonts w:ascii="Arial" w:hAnsi="Arial" w:cs="Arial"/>
          <w:sz w:val="26"/>
          <w:szCs w:val="26"/>
        </w:rPr>
        <w:t xml:space="preserve">have to be transferred </w:t>
      </w:r>
      <w:r>
        <w:rPr>
          <w:rFonts w:ascii="Arial" w:hAnsi="Arial" w:cs="Arial"/>
          <w:sz w:val="26"/>
          <w:szCs w:val="26"/>
        </w:rPr>
        <w:t xml:space="preserve">from </w:t>
      </w:r>
      <w:r w:rsidR="00337B2E">
        <w:rPr>
          <w:rFonts w:ascii="Arial" w:hAnsi="Arial" w:cs="Arial"/>
          <w:sz w:val="26"/>
          <w:szCs w:val="26"/>
        </w:rPr>
        <w:t>the School Block.</w:t>
      </w:r>
    </w:p>
    <w:p w:rsidR="00D42DFA" w:rsidP="00BC3352" w:rsidRDefault="00D42DFA">
      <w:pPr>
        <w:ind w:left="284"/>
        <w:rPr>
          <w:rFonts w:ascii="Arial" w:hAnsi="Arial" w:cs="Arial"/>
          <w:sz w:val="26"/>
          <w:szCs w:val="26"/>
        </w:rPr>
      </w:pPr>
    </w:p>
    <w:p w:rsidR="00B03599" w:rsidP="00BC3352" w:rsidRDefault="00D42DFA">
      <w:pPr>
        <w:ind w:left="284"/>
        <w:rPr>
          <w:rFonts w:ascii="Arial" w:hAnsi="Arial" w:cs="Arial"/>
          <w:sz w:val="26"/>
          <w:szCs w:val="26"/>
        </w:rPr>
      </w:pPr>
      <w:r>
        <w:rPr>
          <w:rFonts w:ascii="Arial" w:hAnsi="Arial" w:cs="Arial"/>
          <w:sz w:val="26"/>
          <w:szCs w:val="26"/>
        </w:rPr>
        <w:t xml:space="preserve">In terms of the broader national context, 15 LAs were given approval to transfer resources </w:t>
      </w:r>
      <w:r w:rsidR="00152581">
        <w:rPr>
          <w:rFonts w:ascii="Arial" w:hAnsi="Arial" w:cs="Arial"/>
          <w:sz w:val="26"/>
          <w:szCs w:val="26"/>
        </w:rPr>
        <w:t xml:space="preserve">between </w:t>
      </w:r>
      <w:r>
        <w:rPr>
          <w:rFonts w:ascii="Arial" w:hAnsi="Arial" w:cs="Arial"/>
          <w:sz w:val="26"/>
          <w:szCs w:val="26"/>
        </w:rPr>
        <w:t xml:space="preserve">their Schools </w:t>
      </w:r>
      <w:r w:rsidR="00152581">
        <w:rPr>
          <w:rFonts w:ascii="Arial" w:hAnsi="Arial" w:cs="Arial"/>
          <w:sz w:val="26"/>
          <w:szCs w:val="26"/>
        </w:rPr>
        <w:t xml:space="preserve">and </w:t>
      </w:r>
      <w:r w:rsidR="00FE53C8">
        <w:rPr>
          <w:rFonts w:ascii="Arial" w:hAnsi="Arial" w:cs="Arial"/>
          <w:sz w:val="26"/>
          <w:szCs w:val="26"/>
        </w:rPr>
        <w:t>High Needs Block</w:t>
      </w:r>
      <w:r w:rsidR="00152581">
        <w:rPr>
          <w:rFonts w:ascii="Arial" w:hAnsi="Arial" w:cs="Arial"/>
          <w:sz w:val="26"/>
          <w:szCs w:val="26"/>
        </w:rPr>
        <w:t>s</w:t>
      </w:r>
      <w:r w:rsidR="00FE53C8">
        <w:rPr>
          <w:rFonts w:ascii="Arial" w:hAnsi="Arial" w:cs="Arial"/>
          <w:sz w:val="26"/>
          <w:szCs w:val="26"/>
        </w:rPr>
        <w:t xml:space="preserve"> in 2018-19.</w:t>
      </w:r>
    </w:p>
    <w:p w:rsidR="00A87639" w:rsidP="00BC3352" w:rsidRDefault="00A87639">
      <w:pPr>
        <w:ind w:left="284"/>
        <w:rPr>
          <w:rFonts w:ascii="Arial" w:hAnsi="Arial" w:cs="Arial"/>
          <w:sz w:val="26"/>
          <w:szCs w:val="26"/>
        </w:rPr>
      </w:pPr>
    </w:p>
    <w:p w:rsidR="00337B2E" w:rsidP="00BC3352" w:rsidRDefault="00337B2E">
      <w:pPr>
        <w:ind w:left="284"/>
        <w:rPr>
          <w:rFonts w:ascii="Arial" w:hAnsi="Arial" w:cs="Arial"/>
          <w:sz w:val="26"/>
          <w:szCs w:val="26"/>
        </w:rPr>
      </w:pPr>
      <w:r>
        <w:rPr>
          <w:rFonts w:ascii="Arial" w:hAnsi="Arial" w:cs="Arial"/>
          <w:sz w:val="26"/>
          <w:szCs w:val="26"/>
        </w:rPr>
        <w:t>Forum is not asked to make any decisions regarding this report.</w:t>
      </w:r>
    </w:p>
    <w:p w:rsidR="00337B2E" w:rsidP="00BC3352" w:rsidRDefault="00337B2E">
      <w:pPr>
        <w:ind w:left="284"/>
        <w:rPr>
          <w:rFonts w:ascii="Arial" w:hAnsi="Arial" w:cs="Arial"/>
          <w:sz w:val="26"/>
          <w:szCs w:val="26"/>
        </w:rPr>
      </w:pPr>
    </w:p>
    <w:p w:rsidRPr="006D2EE8" w:rsidR="00F101F1" w:rsidP="00896D06" w:rsidRDefault="00433514">
      <w:pPr>
        <w:ind w:left="1134" w:hanging="850"/>
        <w:jc w:val="both"/>
        <w:rPr>
          <w:rFonts w:ascii="Arial" w:hAnsi="Arial" w:cs="Arial"/>
          <w:b/>
          <w:sz w:val="26"/>
          <w:szCs w:val="26"/>
          <w:u w:val="single"/>
        </w:rPr>
      </w:pPr>
      <w:r>
        <w:rPr>
          <w:rFonts w:ascii="Arial" w:hAnsi="Arial" w:cs="Arial"/>
          <w:b/>
          <w:sz w:val="26"/>
          <w:szCs w:val="26"/>
        </w:rPr>
        <w:t>3</w:t>
      </w:r>
      <w:r w:rsidRPr="006D2EE8" w:rsidR="00B73C3D">
        <w:rPr>
          <w:rFonts w:ascii="Arial" w:hAnsi="Arial" w:cs="Arial"/>
          <w:b/>
          <w:sz w:val="26"/>
          <w:szCs w:val="26"/>
        </w:rPr>
        <w:t>.</w:t>
      </w:r>
      <w:r w:rsidRPr="006D2EE8" w:rsidR="00B73C3D">
        <w:rPr>
          <w:rFonts w:ascii="Arial" w:hAnsi="Arial" w:cs="Arial"/>
          <w:b/>
          <w:sz w:val="26"/>
          <w:szCs w:val="26"/>
        </w:rPr>
        <w:tab/>
      </w:r>
      <w:r w:rsidRPr="006D2EE8" w:rsidR="00B73C3D">
        <w:rPr>
          <w:rFonts w:ascii="Arial" w:hAnsi="Arial" w:cs="Arial"/>
          <w:b/>
          <w:sz w:val="26"/>
          <w:szCs w:val="26"/>
          <w:u w:val="single"/>
        </w:rPr>
        <w:t>Other Considerations</w:t>
      </w:r>
    </w:p>
    <w:p w:rsidRPr="00D333BE" w:rsidR="00F101F1" w:rsidP="00F101F1" w:rsidRDefault="00F101F1">
      <w:pPr>
        <w:ind w:left="284"/>
        <w:jc w:val="both"/>
        <w:rPr>
          <w:rFonts w:ascii="Arial" w:hAnsi="Arial" w:cs="Arial"/>
          <w:szCs w:val="26"/>
        </w:rPr>
      </w:pPr>
    </w:p>
    <w:p w:rsidRPr="006D2EE8" w:rsidR="00B73C3D" w:rsidP="004B76A4" w:rsidRDefault="00B73C3D">
      <w:pPr>
        <w:tabs>
          <w:tab w:val="left" w:pos="851"/>
        </w:tabs>
        <w:ind w:left="284"/>
        <w:rPr>
          <w:rFonts w:ascii="Arial" w:hAnsi="Arial" w:cs="Arial"/>
          <w:sz w:val="26"/>
          <w:szCs w:val="26"/>
        </w:rPr>
      </w:pPr>
      <w:r w:rsidRPr="006D2EE8">
        <w:rPr>
          <w:rFonts w:ascii="Arial" w:hAnsi="Arial" w:cs="Arial"/>
          <w:sz w:val="26"/>
          <w:szCs w:val="26"/>
        </w:rPr>
        <w:t xml:space="preserve">In preparing this report the relevance of the following factors has been considered: prevention of crime &amp; disorder, equality of opportunity, </w:t>
      </w:r>
      <w:r w:rsidR="00066926">
        <w:rPr>
          <w:rFonts w:ascii="Arial" w:hAnsi="Arial" w:cs="Arial"/>
          <w:sz w:val="26"/>
          <w:szCs w:val="26"/>
        </w:rPr>
        <w:t xml:space="preserve">social value, </w:t>
      </w:r>
      <w:r w:rsidRPr="006D2EE8">
        <w:rPr>
          <w:rFonts w:ascii="Arial" w:hAnsi="Arial" w:cs="Arial"/>
          <w:sz w:val="26"/>
          <w:szCs w:val="26"/>
        </w:rPr>
        <w:t>human resources, legal &amp; human rights, environmental, financial, health, property and transport considerations.</w:t>
      </w:r>
    </w:p>
    <w:p w:rsidRPr="00D333BE" w:rsidR="00425BFB" w:rsidP="00F101F1" w:rsidRDefault="00425BFB">
      <w:pPr>
        <w:ind w:left="284"/>
        <w:rPr>
          <w:rFonts w:ascii="Arial" w:hAnsi="Arial" w:cs="Arial"/>
          <w:b/>
          <w:szCs w:val="26"/>
        </w:rPr>
      </w:pPr>
    </w:p>
    <w:p w:rsidRPr="006D2EE8" w:rsidR="00F101F1" w:rsidP="00896D06" w:rsidRDefault="00433514">
      <w:pPr>
        <w:ind w:left="1134" w:hanging="850"/>
        <w:jc w:val="both"/>
        <w:rPr>
          <w:rFonts w:ascii="Arial" w:hAnsi="Arial" w:cs="Arial"/>
          <w:b/>
          <w:sz w:val="26"/>
          <w:szCs w:val="26"/>
          <w:u w:val="single"/>
        </w:rPr>
      </w:pPr>
      <w:r>
        <w:rPr>
          <w:rFonts w:ascii="Arial" w:hAnsi="Arial" w:cs="Arial"/>
          <w:b/>
          <w:sz w:val="26"/>
          <w:szCs w:val="26"/>
        </w:rPr>
        <w:t>4</w:t>
      </w:r>
      <w:r w:rsidRPr="006D2EE8" w:rsidR="00B73C3D">
        <w:rPr>
          <w:rFonts w:ascii="Arial" w:hAnsi="Arial" w:cs="Arial"/>
          <w:b/>
          <w:sz w:val="26"/>
          <w:szCs w:val="26"/>
        </w:rPr>
        <w:t>.</w:t>
      </w:r>
      <w:r w:rsidRPr="006D2EE8" w:rsidR="00B73C3D">
        <w:rPr>
          <w:rFonts w:ascii="Arial" w:hAnsi="Arial" w:cs="Arial"/>
          <w:b/>
          <w:sz w:val="26"/>
          <w:szCs w:val="26"/>
        </w:rPr>
        <w:tab/>
      </w:r>
      <w:r w:rsidRPr="00896D06" w:rsidR="00B73C3D">
        <w:rPr>
          <w:rFonts w:ascii="Arial" w:hAnsi="Arial" w:cs="Arial"/>
          <w:b/>
          <w:sz w:val="26"/>
          <w:szCs w:val="26"/>
          <w:u w:val="single"/>
        </w:rPr>
        <w:t>Background Papers</w:t>
      </w:r>
    </w:p>
    <w:p w:rsidRPr="00D333BE" w:rsidR="00F101F1" w:rsidP="00F101F1" w:rsidRDefault="00F101F1">
      <w:pPr>
        <w:ind w:left="284"/>
        <w:rPr>
          <w:rFonts w:ascii="Arial" w:hAnsi="Arial" w:cs="Arial"/>
          <w:b/>
          <w:szCs w:val="26"/>
        </w:rPr>
      </w:pPr>
    </w:p>
    <w:p w:rsidRPr="006D2EE8" w:rsidR="00B73C3D" w:rsidP="00F101F1" w:rsidRDefault="00F101F1">
      <w:pPr>
        <w:ind w:left="284"/>
        <w:rPr>
          <w:rFonts w:ascii="Arial" w:hAnsi="Arial" w:cs="Arial"/>
          <w:b/>
          <w:sz w:val="26"/>
          <w:szCs w:val="26"/>
        </w:rPr>
      </w:pPr>
      <w:r w:rsidRPr="006D2EE8">
        <w:rPr>
          <w:rFonts w:ascii="Arial" w:hAnsi="Arial" w:cs="Arial"/>
          <w:sz w:val="26"/>
          <w:szCs w:val="26"/>
        </w:rPr>
        <w:t>Papers held in C</w:t>
      </w:r>
      <w:r w:rsidRPr="006D2EE8" w:rsidR="001F5A2F">
        <w:rPr>
          <w:rFonts w:ascii="Arial" w:hAnsi="Arial" w:cs="Arial"/>
          <w:sz w:val="26"/>
          <w:szCs w:val="26"/>
        </w:rPr>
        <w:t xml:space="preserve">hildren’s Services </w:t>
      </w:r>
      <w:r w:rsidRPr="006D2EE8">
        <w:rPr>
          <w:rFonts w:ascii="Arial" w:hAnsi="Arial" w:cs="Arial"/>
          <w:sz w:val="26"/>
          <w:szCs w:val="26"/>
        </w:rPr>
        <w:t>Finance</w:t>
      </w:r>
      <w:r w:rsidRPr="006D2EE8" w:rsidR="00A042FC">
        <w:rPr>
          <w:rFonts w:ascii="Arial" w:hAnsi="Arial" w:cs="Arial"/>
          <w:sz w:val="26"/>
          <w:szCs w:val="26"/>
        </w:rPr>
        <w:t>.</w:t>
      </w:r>
    </w:p>
    <w:p w:rsidRPr="00D333BE" w:rsidR="00B73C3D" w:rsidP="00F101F1" w:rsidRDefault="00B73C3D">
      <w:pPr>
        <w:ind w:left="284"/>
        <w:rPr>
          <w:rFonts w:ascii="Arial" w:hAnsi="Arial" w:cs="Arial"/>
          <w:szCs w:val="26"/>
        </w:rPr>
      </w:pPr>
    </w:p>
    <w:p w:rsidRPr="006D2EE8" w:rsidR="00B73C3D" w:rsidP="00896D06" w:rsidRDefault="00433514">
      <w:pPr>
        <w:ind w:left="1134" w:hanging="850"/>
        <w:jc w:val="both"/>
        <w:rPr>
          <w:rFonts w:ascii="Arial" w:hAnsi="Arial" w:cs="Arial"/>
          <w:b/>
          <w:sz w:val="26"/>
          <w:szCs w:val="26"/>
        </w:rPr>
      </w:pPr>
      <w:r>
        <w:rPr>
          <w:rFonts w:ascii="Arial" w:hAnsi="Arial" w:cs="Arial"/>
          <w:b/>
          <w:sz w:val="26"/>
          <w:szCs w:val="26"/>
        </w:rPr>
        <w:t>5</w:t>
      </w:r>
      <w:r w:rsidRPr="006D2EE8" w:rsidR="00B73C3D">
        <w:rPr>
          <w:rFonts w:ascii="Arial" w:hAnsi="Arial" w:cs="Arial"/>
          <w:b/>
          <w:sz w:val="26"/>
          <w:szCs w:val="26"/>
        </w:rPr>
        <w:t>.</w:t>
      </w:r>
      <w:r w:rsidRPr="006D2EE8" w:rsidR="00B73C3D">
        <w:rPr>
          <w:rFonts w:ascii="Arial" w:hAnsi="Arial" w:cs="Arial"/>
          <w:b/>
          <w:sz w:val="26"/>
          <w:szCs w:val="26"/>
        </w:rPr>
        <w:tab/>
      </w:r>
      <w:r w:rsidRPr="00896D06" w:rsidR="00B73C3D">
        <w:rPr>
          <w:rFonts w:ascii="Arial" w:hAnsi="Arial" w:cs="Arial"/>
          <w:b/>
          <w:sz w:val="26"/>
          <w:szCs w:val="26"/>
          <w:u w:val="single"/>
        </w:rPr>
        <w:t>Officer’s Recommendations</w:t>
      </w:r>
      <w:r w:rsidRPr="006D2EE8" w:rsidR="00B73C3D">
        <w:rPr>
          <w:rFonts w:ascii="Arial" w:hAnsi="Arial" w:cs="Arial"/>
          <w:b/>
          <w:sz w:val="26"/>
          <w:szCs w:val="26"/>
        </w:rPr>
        <w:t xml:space="preserve"> </w:t>
      </w:r>
    </w:p>
    <w:p w:rsidRPr="00D333BE" w:rsidR="00B73C3D" w:rsidP="00F101F1" w:rsidRDefault="00B73C3D">
      <w:pPr>
        <w:pStyle w:val="ListParagraph"/>
        <w:ind w:left="284"/>
        <w:rPr>
          <w:rFonts w:ascii="Arial" w:hAnsi="Arial" w:cs="Arial"/>
          <w:szCs w:val="26"/>
        </w:rPr>
      </w:pPr>
    </w:p>
    <w:p w:rsidR="00F25560" w:rsidP="00F101F1" w:rsidRDefault="00B840DB">
      <w:pPr>
        <w:pStyle w:val="ListParagraph"/>
        <w:ind w:left="284"/>
        <w:rPr>
          <w:rFonts w:ascii="Arial" w:hAnsi="Arial" w:cs="Arial"/>
          <w:sz w:val="26"/>
          <w:szCs w:val="26"/>
        </w:rPr>
      </w:pPr>
      <w:r w:rsidRPr="006D2EE8">
        <w:rPr>
          <w:rFonts w:ascii="Arial" w:hAnsi="Arial" w:cs="Arial"/>
          <w:sz w:val="26"/>
          <w:szCs w:val="26"/>
        </w:rPr>
        <w:t xml:space="preserve">Schools Forum </w:t>
      </w:r>
      <w:r w:rsidRPr="006D2EE8" w:rsidR="000122A0">
        <w:rPr>
          <w:rFonts w:ascii="Arial" w:hAnsi="Arial" w:cs="Arial"/>
          <w:sz w:val="26"/>
          <w:szCs w:val="26"/>
        </w:rPr>
        <w:t>is asked to</w:t>
      </w:r>
      <w:r w:rsidR="006A646F">
        <w:rPr>
          <w:rFonts w:ascii="Arial" w:hAnsi="Arial" w:cs="Arial"/>
          <w:sz w:val="26"/>
          <w:szCs w:val="26"/>
        </w:rPr>
        <w:t xml:space="preserve"> </w:t>
      </w:r>
      <w:r w:rsidR="00337B2E">
        <w:rPr>
          <w:rFonts w:ascii="Arial" w:hAnsi="Arial" w:cs="Arial"/>
          <w:sz w:val="26"/>
          <w:szCs w:val="26"/>
        </w:rPr>
        <w:t xml:space="preserve">note </w:t>
      </w:r>
      <w:r w:rsidR="0047751E">
        <w:rPr>
          <w:rFonts w:ascii="Arial" w:hAnsi="Arial" w:cs="Arial"/>
          <w:sz w:val="26"/>
          <w:szCs w:val="26"/>
        </w:rPr>
        <w:t>the report</w:t>
      </w:r>
      <w:r w:rsidR="00337B2E">
        <w:rPr>
          <w:rFonts w:ascii="Arial" w:hAnsi="Arial" w:cs="Arial"/>
          <w:sz w:val="26"/>
          <w:szCs w:val="26"/>
        </w:rPr>
        <w:t xml:space="preserve"> and the implications raised</w:t>
      </w:r>
      <w:r w:rsidR="0047751E">
        <w:rPr>
          <w:rFonts w:ascii="Arial" w:hAnsi="Arial" w:cs="Arial"/>
          <w:sz w:val="26"/>
          <w:szCs w:val="26"/>
        </w:rPr>
        <w:t>.</w:t>
      </w:r>
    </w:p>
    <w:p w:rsidRPr="006D2EE8" w:rsidR="00F25560" w:rsidP="0047751E" w:rsidRDefault="00F25560">
      <w:pPr>
        <w:pStyle w:val="ListParagraph"/>
        <w:ind w:left="1004"/>
        <w:rPr>
          <w:rFonts w:ascii="Arial" w:hAnsi="Arial" w:cs="Arial"/>
          <w:sz w:val="26"/>
          <w:szCs w:val="26"/>
        </w:rPr>
      </w:pPr>
    </w:p>
    <w:p w:rsidRPr="00D333BE" w:rsidR="00885834" w:rsidP="00F101F1" w:rsidRDefault="00885834">
      <w:pPr>
        <w:pStyle w:val="ListParagraph"/>
        <w:ind w:left="284"/>
        <w:rPr>
          <w:rFonts w:ascii="Arial" w:hAnsi="Arial" w:cs="Arial"/>
          <w:szCs w:val="26"/>
        </w:rPr>
      </w:pPr>
    </w:p>
    <w:p w:rsidRPr="006D2EE8" w:rsidR="00885834" w:rsidP="00885834" w:rsidRDefault="00E024A0">
      <w:pPr>
        <w:jc w:val="center"/>
        <w:rPr>
          <w:rFonts w:ascii="Arial" w:hAnsi="Arial" w:cs="Arial"/>
          <w:b/>
          <w:sz w:val="26"/>
          <w:szCs w:val="26"/>
        </w:rPr>
      </w:pPr>
      <w:r>
        <w:rPr>
          <w:rFonts w:ascii="Arial" w:hAnsi="Arial" w:cs="Arial"/>
          <w:b/>
          <w:sz w:val="26"/>
          <w:szCs w:val="26"/>
        </w:rPr>
        <w:t>JANE PARFREMENT</w:t>
      </w:r>
    </w:p>
    <w:p w:rsidR="00B077B1" w:rsidP="008E3161" w:rsidRDefault="00B73C3D">
      <w:pPr>
        <w:ind w:left="709"/>
        <w:jc w:val="center"/>
        <w:rPr>
          <w:rFonts w:ascii="Arial" w:hAnsi="Arial" w:cs="Arial"/>
          <w:b/>
          <w:sz w:val="26"/>
          <w:szCs w:val="26"/>
        </w:rPr>
      </w:pPr>
      <w:r w:rsidRPr="006D2EE8">
        <w:rPr>
          <w:rFonts w:ascii="Arial" w:hAnsi="Arial" w:cs="Arial"/>
          <w:b/>
          <w:sz w:val="26"/>
          <w:szCs w:val="26"/>
        </w:rPr>
        <w:t>Strategic Director for Children</w:t>
      </w:r>
      <w:r w:rsidRPr="006D2EE8" w:rsidR="00E352A1">
        <w:rPr>
          <w:rFonts w:ascii="Arial" w:hAnsi="Arial" w:cs="Arial"/>
          <w:b/>
          <w:sz w:val="26"/>
          <w:szCs w:val="26"/>
        </w:rPr>
        <w:t>’s Services</w:t>
      </w:r>
      <w:r w:rsidR="008E3161">
        <w:rPr>
          <w:rFonts w:ascii="Arial" w:hAnsi="Arial" w:cs="Arial"/>
          <w:b/>
          <w:sz w:val="26"/>
          <w:szCs w:val="26"/>
        </w:rPr>
        <w:t xml:space="preserve"> </w:t>
      </w:r>
    </w:p>
    <w:p w:rsidR="009C390F" w:rsidP="008E3161" w:rsidRDefault="009C390F">
      <w:pPr>
        <w:ind w:left="709"/>
        <w:jc w:val="center"/>
        <w:rPr>
          <w:rFonts w:ascii="Arial" w:hAnsi="Arial" w:cs="Arial"/>
          <w:b/>
          <w:sz w:val="26"/>
          <w:szCs w:val="26"/>
          <w:u w:val="single"/>
        </w:rPr>
      </w:pPr>
      <w:r>
        <w:rPr>
          <w:rFonts w:ascii="Arial" w:hAnsi="Arial" w:cs="Arial"/>
          <w:b/>
          <w:sz w:val="26"/>
          <w:szCs w:val="26"/>
          <w:u w:val="single"/>
        </w:rPr>
        <w:br w:type="page"/>
      </w:r>
    </w:p>
    <w:p w:rsidR="008E3161" w:rsidP="008E3161" w:rsidRDefault="008E3161">
      <w:pPr>
        <w:ind w:left="709"/>
        <w:jc w:val="center"/>
        <w:rPr>
          <w:rFonts w:ascii="Arial" w:hAnsi="Arial" w:cs="Arial"/>
          <w:b/>
          <w:sz w:val="26"/>
          <w:szCs w:val="26"/>
          <w:u w:val="single"/>
        </w:rPr>
        <w:sectPr w:rsidR="008E3161" w:rsidSect="0002634B">
          <w:footerReference w:type="default" r:id="rId9"/>
          <w:pgSz w:w="11906" w:h="16838"/>
          <w:pgMar w:top="426" w:right="1133" w:bottom="1135" w:left="851" w:header="708" w:footer="268" w:gutter="0"/>
          <w:cols w:space="708"/>
          <w:docGrid w:linePitch="360"/>
        </w:sectPr>
      </w:pPr>
    </w:p>
    <w:p w:rsidRPr="00F0603B" w:rsidR="009744DF" w:rsidP="00F25560" w:rsidRDefault="009744DF">
      <w:pPr>
        <w:tabs>
          <w:tab w:val="left" w:pos="8505"/>
        </w:tabs>
        <w:rPr>
          <w:rFonts w:ascii="Arial" w:hAnsi="Arial" w:cs="Arial"/>
          <w:sz w:val="20"/>
          <w:szCs w:val="20"/>
        </w:rPr>
      </w:pPr>
    </w:p>
    <w:sectPr w:rsidRPr="00F0603B" w:rsidR="009744DF" w:rsidSect="00F25560">
      <w:pgSz w:w="11906" w:h="16838"/>
      <w:pgMar w:top="426" w:right="1133" w:bottom="1135" w:left="851"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F8" w:rsidRDefault="00E058F8" w:rsidP="00085F2B">
      <w:r>
        <w:separator/>
      </w:r>
    </w:p>
  </w:endnote>
  <w:endnote w:type="continuationSeparator" w:id="0">
    <w:p w:rsidR="00E058F8" w:rsidRDefault="00E058F8" w:rsidP="0008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74933"/>
      <w:docPartObj>
        <w:docPartGallery w:val="Page Numbers (Bottom of Page)"/>
        <w:docPartUnique/>
      </w:docPartObj>
    </w:sdtPr>
    <w:sdtEndPr>
      <w:rPr>
        <w:noProof/>
      </w:rPr>
    </w:sdtEndPr>
    <w:sdtContent>
      <w:p w:rsidR="00A87639" w:rsidRDefault="00A87639">
        <w:pPr>
          <w:pStyle w:val="Footer"/>
          <w:jc w:val="center"/>
        </w:pPr>
        <w:r>
          <w:fldChar w:fldCharType="begin"/>
        </w:r>
        <w:r>
          <w:instrText xml:space="preserve"> PAGE   \* MERGEFORMAT </w:instrText>
        </w:r>
        <w:r>
          <w:fldChar w:fldCharType="separate"/>
        </w:r>
        <w:r w:rsidR="00B819D0">
          <w:rPr>
            <w:noProof/>
          </w:rPr>
          <w:t>6</w:t>
        </w:r>
        <w:r>
          <w:rPr>
            <w:noProof/>
          </w:rPr>
          <w:fldChar w:fldCharType="end"/>
        </w:r>
      </w:p>
    </w:sdtContent>
  </w:sdt>
  <w:p w:rsidR="00A87639" w:rsidRDefault="00A8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F8" w:rsidRDefault="00E058F8" w:rsidP="00085F2B">
      <w:r>
        <w:separator/>
      </w:r>
    </w:p>
  </w:footnote>
  <w:footnote w:type="continuationSeparator" w:id="0">
    <w:p w:rsidR="00E058F8" w:rsidRDefault="00E058F8" w:rsidP="0008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B22"/>
    <w:multiLevelType w:val="hybridMultilevel"/>
    <w:tmpl w:val="E9309EF6"/>
    <w:lvl w:ilvl="0" w:tplc="D4F413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7163D"/>
    <w:multiLevelType w:val="hybridMultilevel"/>
    <w:tmpl w:val="ADE24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E71CDB"/>
    <w:multiLevelType w:val="hybridMultilevel"/>
    <w:tmpl w:val="30128DD2"/>
    <w:lvl w:ilvl="0" w:tplc="E9C6FD04">
      <w:start w:val="5"/>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062A264F"/>
    <w:multiLevelType w:val="hybridMultilevel"/>
    <w:tmpl w:val="E35CFC2C"/>
    <w:lvl w:ilvl="0" w:tplc="001200B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66A36FB"/>
    <w:multiLevelType w:val="hybridMultilevel"/>
    <w:tmpl w:val="7254942C"/>
    <w:lvl w:ilvl="0" w:tplc="770697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B1624F"/>
    <w:multiLevelType w:val="hybridMultilevel"/>
    <w:tmpl w:val="0CEE40DC"/>
    <w:lvl w:ilvl="0" w:tplc="2A927F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A50A4B"/>
    <w:multiLevelType w:val="hybridMultilevel"/>
    <w:tmpl w:val="5AAE4330"/>
    <w:lvl w:ilvl="0" w:tplc="BD9226D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C41CE"/>
    <w:multiLevelType w:val="hybridMultilevel"/>
    <w:tmpl w:val="7BCA7CE4"/>
    <w:lvl w:ilvl="0" w:tplc="1280FD9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D176ECA"/>
    <w:multiLevelType w:val="hybridMultilevel"/>
    <w:tmpl w:val="3FA87574"/>
    <w:lvl w:ilvl="0" w:tplc="EC504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401424"/>
    <w:multiLevelType w:val="hybridMultilevel"/>
    <w:tmpl w:val="6A42C2BC"/>
    <w:lvl w:ilvl="0" w:tplc="E9D2CC7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2364925"/>
    <w:multiLevelType w:val="multilevel"/>
    <w:tmpl w:val="9C20FF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412"/>
    <w:multiLevelType w:val="hybridMultilevel"/>
    <w:tmpl w:val="81B8D2EC"/>
    <w:lvl w:ilvl="0" w:tplc="76ECB5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0C26B6"/>
    <w:multiLevelType w:val="hybridMultilevel"/>
    <w:tmpl w:val="BEF8E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B27030"/>
    <w:multiLevelType w:val="hybridMultilevel"/>
    <w:tmpl w:val="8256A4C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1C047428"/>
    <w:multiLevelType w:val="hybridMultilevel"/>
    <w:tmpl w:val="7224351C"/>
    <w:lvl w:ilvl="0" w:tplc="9014BED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1E15304F"/>
    <w:multiLevelType w:val="hybridMultilevel"/>
    <w:tmpl w:val="E452A1BC"/>
    <w:lvl w:ilvl="0" w:tplc="74E01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23E5D"/>
    <w:multiLevelType w:val="hybridMultilevel"/>
    <w:tmpl w:val="072EA83C"/>
    <w:lvl w:ilvl="0" w:tplc="608A0E7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13A533B"/>
    <w:multiLevelType w:val="hybridMultilevel"/>
    <w:tmpl w:val="9050D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81FD0"/>
    <w:multiLevelType w:val="hybridMultilevel"/>
    <w:tmpl w:val="D46E07B4"/>
    <w:lvl w:ilvl="0" w:tplc="57EC4C3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8A61938"/>
    <w:multiLevelType w:val="hybridMultilevel"/>
    <w:tmpl w:val="A086D632"/>
    <w:lvl w:ilvl="0" w:tplc="0082D9BC">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6043D"/>
    <w:multiLevelType w:val="hybridMultilevel"/>
    <w:tmpl w:val="C1F4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7E0526"/>
    <w:multiLevelType w:val="hybridMultilevel"/>
    <w:tmpl w:val="73CCC3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A5D77D9"/>
    <w:multiLevelType w:val="hybridMultilevel"/>
    <w:tmpl w:val="42C60610"/>
    <w:lvl w:ilvl="0" w:tplc="2768411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2CBA0FAB"/>
    <w:multiLevelType w:val="hybridMultilevel"/>
    <w:tmpl w:val="D3A04A8C"/>
    <w:lvl w:ilvl="0" w:tplc="91EA4D7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2E5B221C"/>
    <w:multiLevelType w:val="hybridMultilevel"/>
    <w:tmpl w:val="705881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2EA3670C"/>
    <w:multiLevelType w:val="hybridMultilevel"/>
    <w:tmpl w:val="18E681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06D0616"/>
    <w:multiLevelType w:val="multilevel"/>
    <w:tmpl w:val="54EE7E40"/>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32BE5151"/>
    <w:multiLevelType w:val="hybridMultilevel"/>
    <w:tmpl w:val="4C140048"/>
    <w:lvl w:ilvl="0" w:tplc="3B7691A8">
      <w:start w:val="1"/>
      <w:numFmt w:val="decimal"/>
      <w:lvlText w:val="%1."/>
      <w:lvlJc w:val="left"/>
      <w:pPr>
        <w:ind w:left="2767" w:hanging="360"/>
      </w:pPr>
      <w:rPr>
        <w:rFonts w:hint="default"/>
        <w:u w:val="none"/>
      </w:rPr>
    </w:lvl>
    <w:lvl w:ilvl="1" w:tplc="08090019" w:tentative="1">
      <w:start w:val="1"/>
      <w:numFmt w:val="lowerLetter"/>
      <w:lvlText w:val="%2."/>
      <w:lvlJc w:val="left"/>
      <w:pPr>
        <w:ind w:left="3487" w:hanging="360"/>
      </w:pPr>
    </w:lvl>
    <w:lvl w:ilvl="2" w:tplc="0809001B" w:tentative="1">
      <w:start w:val="1"/>
      <w:numFmt w:val="lowerRoman"/>
      <w:lvlText w:val="%3."/>
      <w:lvlJc w:val="right"/>
      <w:pPr>
        <w:ind w:left="4207" w:hanging="180"/>
      </w:pPr>
    </w:lvl>
    <w:lvl w:ilvl="3" w:tplc="0809000F" w:tentative="1">
      <w:start w:val="1"/>
      <w:numFmt w:val="decimal"/>
      <w:lvlText w:val="%4."/>
      <w:lvlJc w:val="left"/>
      <w:pPr>
        <w:ind w:left="4927" w:hanging="360"/>
      </w:pPr>
    </w:lvl>
    <w:lvl w:ilvl="4" w:tplc="08090019" w:tentative="1">
      <w:start w:val="1"/>
      <w:numFmt w:val="lowerLetter"/>
      <w:lvlText w:val="%5."/>
      <w:lvlJc w:val="left"/>
      <w:pPr>
        <w:ind w:left="5647" w:hanging="360"/>
      </w:pPr>
    </w:lvl>
    <w:lvl w:ilvl="5" w:tplc="0809001B" w:tentative="1">
      <w:start w:val="1"/>
      <w:numFmt w:val="lowerRoman"/>
      <w:lvlText w:val="%6."/>
      <w:lvlJc w:val="right"/>
      <w:pPr>
        <w:ind w:left="6367" w:hanging="180"/>
      </w:pPr>
    </w:lvl>
    <w:lvl w:ilvl="6" w:tplc="0809000F" w:tentative="1">
      <w:start w:val="1"/>
      <w:numFmt w:val="decimal"/>
      <w:lvlText w:val="%7."/>
      <w:lvlJc w:val="left"/>
      <w:pPr>
        <w:ind w:left="7087" w:hanging="360"/>
      </w:pPr>
    </w:lvl>
    <w:lvl w:ilvl="7" w:tplc="08090019" w:tentative="1">
      <w:start w:val="1"/>
      <w:numFmt w:val="lowerLetter"/>
      <w:lvlText w:val="%8."/>
      <w:lvlJc w:val="left"/>
      <w:pPr>
        <w:ind w:left="7807" w:hanging="360"/>
      </w:pPr>
    </w:lvl>
    <w:lvl w:ilvl="8" w:tplc="0809001B" w:tentative="1">
      <w:start w:val="1"/>
      <w:numFmt w:val="lowerRoman"/>
      <w:lvlText w:val="%9."/>
      <w:lvlJc w:val="right"/>
      <w:pPr>
        <w:ind w:left="8527" w:hanging="180"/>
      </w:pPr>
    </w:lvl>
  </w:abstractNum>
  <w:abstractNum w:abstractNumId="28" w15:restartNumberingAfterBreak="0">
    <w:nsid w:val="33CA10FF"/>
    <w:multiLevelType w:val="hybridMultilevel"/>
    <w:tmpl w:val="51405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7F37B1"/>
    <w:multiLevelType w:val="hybridMultilevel"/>
    <w:tmpl w:val="4392B98A"/>
    <w:lvl w:ilvl="0" w:tplc="972E4D2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3A2153DB"/>
    <w:multiLevelType w:val="hybridMultilevel"/>
    <w:tmpl w:val="826E1510"/>
    <w:lvl w:ilvl="0" w:tplc="BD5C1226">
      <w:start w:val="2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3AF802E1"/>
    <w:multiLevelType w:val="hybridMultilevel"/>
    <w:tmpl w:val="BA1C72BE"/>
    <w:lvl w:ilvl="0" w:tplc="7EF4BF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FEC0362"/>
    <w:multiLevelType w:val="hybridMultilevel"/>
    <w:tmpl w:val="FAAC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495144"/>
    <w:multiLevelType w:val="hybridMultilevel"/>
    <w:tmpl w:val="AB4E49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61E2D4F"/>
    <w:multiLevelType w:val="hybridMultilevel"/>
    <w:tmpl w:val="A060F6EA"/>
    <w:lvl w:ilvl="0" w:tplc="3A2281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E8B624C"/>
    <w:multiLevelType w:val="hybridMultilevel"/>
    <w:tmpl w:val="F49CD0BA"/>
    <w:lvl w:ilvl="0" w:tplc="EE1E762C">
      <w:start w:val="1"/>
      <w:numFmt w:val="low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B70CA8"/>
    <w:multiLevelType w:val="hybridMultilevel"/>
    <w:tmpl w:val="A060F6EA"/>
    <w:lvl w:ilvl="0" w:tplc="3A2281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0383659"/>
    <w:multiLevelType w:val="hybridMultilevel"/>
    <w:tmpl w:val="4E24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B9591F"/>
    <w:multiLevelType w:val="hybridMultilevel"/>
    <w:tmpl w:val="1BF60118"/>
    <w:lvl w:ilvl="0" w:tplc="DAA0AC0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15:restartNumberingAfterBreak="0">
    <w:nsid w:val="53CB6B3B"/>
    <w:multiLevelType w:val="hybridMultilevel"/>
    <w:tmpl w:val="16E475AA"/>
    <w:lvl w:ilvl="0" w:tplc="3FC85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6D320A"/>
    <w:multiLevelType w:val="hybridMultilevel"/>
    <w:tmpl w:val="EAB26F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6AC55BA"/>
    <w:multiLevelType w:val="hybridMultilevel"/>
    <w:tmpl w:val="D376CD42"/>
    <w:lvl w:ilvl="0" w:tplc="A05A4C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D4E55C0"/>
    <w:multiLevelType w:val="hybridMultilevel"/>
    <w:tmpl w:val="B89CDE92"/>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0607E6E"/>
    <w:multiLevelType w:val="multilevel"/>
    <w:tmpl w:val="0BA876C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68B95841"/>
    <w:multiLevelType w:val="hybridMultilevel"/>
    <w:tmpl w:val="63205EC2"/>
    <w:lvl w:ilvl="0" w:tplc="2C8C45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68E322BC"/>
    <w:multiLevelType w:val="hybridMultilevel"/>
    <w:tmpl w:val="84DA4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691E00CA"/>
    <w:multiLevelType w:val="hybridMultilevel"/>
    <w:tmpl w:val="82242504"/>
    <w:lvl w:ilvl="0" w:tplc="7F068512">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5EC240E"/>
    <w:multiLevelType w:val="hybridMultilevel"/>
    <w:tmpl w:val="2410C50C"/>
    <w:lvl w:ilvl="0" w:tplc="5BF8C15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7789206B"/>
    <w:multiLevelType w:val="hybridMultilevel"/>
    <w:tmpl w:val="D71246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570693"/>
    <w:multiLevelType w:val="hybridMultilevel"/>
    <w:tmpl w:val="BD2CE0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0"/>
  </w:num>
  <w:num w:numId="2">
    <w:abstractNumId w:val="17"/>
  </w:num>
  <w:num w:numId="3">
    <w:abstractNumId w:val="35"/>
  </w:num>
  <w:num w:numId="4">
    <w:abstractNumId w:val="39"/>
  </w:num>
  <w:num w:numId="5">
    <w:abstractNumId w:val="15"/>
  </w:num>
  <w:num w:numId="6">
    <w:abstractNumId w:val="11"/>
  </w:num>
  <w:num w:numId="7">
    <w:abstractNumId w:val="32"/>
  </w:num>
  <w:num w:numId="8">
    <w:abstractNumId w:val="0"/>
  </w:num>
  <w:num w:numId="9">
    <w:abstractNumId w:val="38"/>
  </w:num>
  <w:num w:numId="10">
    <w:abstractNumId w:val="5"/>
  </w:num>
  <w:num w:numId="11">
    <w:abstractNumId w:val="45"/>
  </w:num>
  <w:num w:numId="12">
    <w:abstractNumId w:val="25"/>
  </w:num>
  <w:num w:numId="13">
    <w:abstractNumId w:val="49"/>
  </w:num>
  <w:num w:numId="14">
    <w:abstractNumId w:val="22"/>
  </w:num>
  <w:num w:numId="15">
    <w:abstractNumId w:val="8"/>
  </w:num>
  <w:num w:numId="16">
    <w:abstractNumId w:val="33"/>
  </w:num>
  <w:num w:numId="17">
    <w:abstractNumId w:val="9"/>
  </w:num>
  <w:num w:numId="18">
    <w:abstractNumId w:val="42"/>
  </w:num>
  <w:num w:numId="19">
    <w:abstractNumId w:val="1"/>
  </w:num>
  <w:num w:numId="20">
    <w:abstractNumId w:val="34"/>
  </w:num>
  <w:num w:numId="21">
    <w:abstractNumId w:val="12"/>
  </w:num>
  <w:num w:numId="22">
    <w:abstractNumId w:val="44"/>
  </w:num>
  <w:num w:numId="23">
    <w:abstractNumId w:val="19"/>
  </w:num>
  <w:num w:numId="24">
    <w:abstractNumId w:val="28"/>
  </w:num>
  <w:num w:numId="25">
    <w:abstractNumId w:val="40"/>
  </w:num>
  <w:num w:numId="26">
    <w:abstractNumId w:val="31"/>
  </w:num>
  <w:num w:numId="27">
    <w:abstractNumId w:val="18"/>
  </w:num>
  <w:num w:numId="28">
    <w:abstractNumId w:val="46"/>
  </w:num>
  <w:num w:numId="29">
    <w:abstractNumId w:val="36"/>
  </w:num>
  <w:num w:numId="30">
    <w:abstractNumId w:val="4"/>
  </w:num>
  <w:num w:numId="31">
    <w:abstractNumId w:val="13"/>
  </w:num>
  <w:num w:numId="32">
    <w:abstractNumId w:val="27"/>
  </w:num>
  <w:num w:numId="33">
    <w:abstractNumId w:val="16"/>
  </w:num>
  <w:num w:numId="34">
    <w:abstractNumId w:val="6"/>
  </w:num>
  <w:num w:numId="35">
    <w:abstractNumId w:val="29"/>
  </w:num>
  <w:num w:numId="36">
    <w:abstractNumId w:val="10"/>
  </w:num>
  <w:num w:numId="37">
    <w:abstractNumId w:val="14"/>
  </w:num>
  <w:num w:numId="38">
    <w:abstractNumId w:val="48"/>
  </w:num>
  <w:num w:numId="39">
    <w:abstractNumId w:val="23"/>
  </w:num>
  <w:num w:numId="40">
    <w:abstractNumId w:val="24"/>
  </w:num>
  <w:num w:numId="41">
    <w:abstractNumId w:val="41"/>
  </w:num>
  <w:num w:numId="42">
    <w:abstractNumId w:val="3"/>
  </w:num>
  <w:num w:numId="43">
    <w:abstractNumId w:val="37"/>
  </w:num>
  <w:num w:numId="44">
    <w:abstractNumId w:val="43"/>
  </w:num>
  <w:num w:numId="45">
    <w:abstractNumId w:val="2"/>
  </w:num>
  <w:num w:numId="46">
    <w:abstractNumId w:val="26"/>
  </w:num>
  <w:num w:numId="47">
    <w:abstractNumId w:val="30"/>
  </w:num>
  <w:num w:numId="48">
    <w:abstractNumId w:val="47"/>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02"/>
    <w:rsid w:val="000027BC"/>
    <w:rsid w:val="000028E2"/>
    <w:rsid w:val="00003225"/>
    <w:rsid w:val="0000398B"/>
    <w:rsid w:val="00004667"/>
    <w:rsid w:val="00006782"/>
    <w:rsid w:val="0000788A"/>
    <w:rsid w:val="000100AA"/>
    <w:rsid w:val="000122A0"/>
    <w:rsid w:val="0001262B"/>
    <w:rsid w:val="00014742"/>
    <w:rsid w:val="000164FF"/>
    <w:rsid w:val="00022928"/>
    <w:rsid w:val="0002634B"/>
    <w:rsid w:val="00027473"/>
    <w:rsid w:val="0003412A"/>
    <w:rsid w:val="0004049A"/>
    <w:rsid w:val="00041886"/>
    <w:rsid w:val="000432F4"/>
    <w:rsid w:val="000439FA"/>
    <w:rsid w:val="00043F4E"/>
    <w:rsid w:val="00044F6F"/>
    <w:rsid w:val="00047C02"/>
    <w:rsid w:val="00053B19"/>
    <w:rsid w:val="00054B8A"/>
    <w:rsid w:val="00056ED1"/>
    <w:rsid w:val="00060A66"/>
    <w:rsid w:val="00062C6A"/>
    <w:rsid w:val="000635E0"/>
    <w:rsid w:val="00066926"/>
    <w:rsid w:val="00066E6E"/>
    <w:rsid w:val="000737F8"/>
    <w:rsid w:val="000758E0"/>
    <w:rsid w:val="00075C05"/>
    <w:rsid w:val="000769E4"/>
    <w:rsid w:val="00077C3D"/>
    <w:rsid w:val="00082C6D"/>
    <w:rsid w:val="000851FA"/>
    <w:rsid w:val="00085CD8"/>
    <w:rsid w:val="00085F2B"/>
    <w:rsid w:val="00087BF7"/>
    <w:rsid w:val="00091F5E"/>
    <w:rsid w:val="00094C52"/>
    <w:rsid w:val="000B1897"/>
    <w:rsid w:val="000B25BD"/>
    <w:rsid w:val="000B3F61"/>
    <w:rsid w:val="000B64CA"/>
    <w:rsid w:val="000B7054"/>
    <w:rsid w:val="000C3AD4"/>
    <w:rsid w:val="000D013F"/>
    <w:rsid w:val="000D2210"/>
    <w:rsid w:val="000D77D0"/>
    <w:rsid w:val="000E4682"/>
    <w:rsid w:val="000E490A"/>
    <w:rsid w:val="000E6D48"/>
    <w:rsid w:val="000E7029"/>
    <w:rsid w:val="000E7CF1"/>
    <w:rsid w:val="00113647"/>
    <w:rsid w:val="00116A97"/>
    <w:rsid w:val="00116D66"/>
    <w:rsid w:val="00117C56"/>
    <w:rsid w:val="001201F6"/>
    <w:rsid w:val="00122D4E"/>
    <w:rsid w:val="00123605"/>
    <w:rsid w:val="001250EB"/>
    <w:rsid w:val="00127AD2"/>
    <w:rsid w:val="001332AE"/>
    <w:rsid w:val="00142805"/>
    <w:rsid w:val="00142E95"/>
    <w:rsid w:val="00152581"/>
    <w:rsid w:val="0015308F"/>
    <w:rsid w:val="001566C3"/>
    <w:rsid w:val="00156CB8"/>
    <w:rsid w:val="00160312"/>
    <w:rsid w:val="00161201"/>
    <w:rsid w:val="001619DF"/>
    <w:rsid w:val="0016360F"/>
    <w:rsid w:val="001645FB"/>
    <w:rsid w:val="001649BE"/>
    <w:rsid w:val="001655AA"/>
    <w:rsid w:val="00167A80"/>
    <w:rsid w:val="00170363"/>
    <w:rsid w:val="00174A1D"/>
    <w:rsid w:val="00174DB2"/>
    <w:rsid w:val="00175878"/>
    <w:rsid w:val="00183588"/>
    <w:rsid w:val="00187B69"/>
    <w:rsid w:val="00187E75"/>
    <w:rsid w:val="001923CE"/>
    <w:rsid w:val="00192AE5"/>
    <w:rsid w:val="00197DCA"/>
    <w:rsid w:val="001A2FEA"/>
    <w:rsid w:val="001A3312"/>
    <w:rsid w:val="001A677B"/>
    <w:rsid w:val="001B0BAC"/>
    <w:rsid w:val="001B14EB"/>
    <w:rsid w:val="001B1795"/>
    <w:rsid w:val="001B56C2"/>
    <w:rsid w:val="001B7E57"/>
    <w:rsid w:val="001C08CB"/>
    <w:rsid w:val="001C29BC"/>
    <w:rsid w:val="001C322D"/>
    <w:rsid w:val="001C58AE"/>
    <w:rsid w:val="001C620C"/>
    <w:rsid w:val="001C79FA"/>
    <w:rsid w:val="001C7B03"/>
    <w:rsid w:val="001C7E26"/>
    <w:rsid w:val="001D0145"/>
    <w:rsid w:val="001D107F"/>
    <w:rsid w:val="001E0718"/>
    <w:rsid w:val="001E48FB"/>
    <w:rsid w:val="001E693D"/>
    <w:rsid w:val="001F03FD"/>
    <w:rsid w:val="001F3A40"/>
    <w:rsid w:val="001F5614"/>
    <w:rsid w:val="001F5A2F"/>
    <w:rsid w:val="001F718D"/>
    <w:rsid w:val="001F7B87"/>
    <w:rsid w:val="001F7D8F"/>
    <w:rsid w:val="0020336F"/>
    <w:rsid w:val="00205BE9"/>
    <w:rsid w:val="00205C31"/>
    <w:rsid w:val="002060FF"/>
    <w:rsid w:val="00211C56"/>
    <w:rsid w:val="00224030"/>
    <w:rsid w:val="0022416E"/>
    <w:rsid w:val="002267DB"/>
    <w:rsid w:val="002267ED"/>
    <w:rsid w:val="0023287F"/>
    <w:rsid w:val="002346C9"/>
    <w:rsid w:val="00235403"/>
    <w:rsid w:val="00236E1A"/>
    <w:rsid w:val="002420D1"/>
    <w:rsid w:val="00242595"/>
    <w:rsid w:val="002450BB"/>
    <w:rsid w:val="00246E39"/>
    <w:rsid w:val="002471B4"/>
    <w:rsid w:val="002511FF"/>
    <w:rsid w:val="0025212D"/>
    <w:rsid w:val="002529E2"/>
    <w:rsid w:val="002555D5"/>
    <w:rsid w:val="002617ED"/>
    <w:rsid w:val="0026796B"/>
    <w:rsid w:val="00273320"/>
    <w:rsid w:val="00281049"/>
    <w:rsid w:val="00282E0B"/>
    <w:rsid w:val="00283ABE"/>
    <w:rsid w:val="00287F64"/>
    <w:rsid w:val="002A03A8"/>
    <w:rsid w:val="002A2285"/>
    <w:rsid w:val="002A4D83"/>
    <w:rsid w:val="002B0591"/>
    <w:rsid w:val="002B262E"/>
    <w:rsid w:val="002B3803"/>
    <w:rsid w:val="002B42FA"/>
    <w:rsid w:val="002B4714"/>
    <w:rsid w:val="002B6BA5"/>
    <w:rsid w:val="002B7969"/>
    <w:rsid w:val="002C4467"/>
    <w:rsid w:val="002C6880"/>
    <w:rsid w:val="002C6F41"/>
    <w:rsid w:val="002C7B53"/>
    <w:rsid w:val="002D1102"/>
    <w:rsid w:val="002D210B"/>
    <w:rsid w:val="002E08B2"/>
    <w:rsid w:val="00306598"/>
    <w:rsid w:val="00311E6C"/>
    <w:rsid w:val="00321BAA"/>
    <w:rsid w:val="0032535D"/>
    <w:rsid w:val="00325F04"/>
    <w:rsid w:val="003320D0"/>
    <w:rsid w:val="00332326"/>
    <w:rsid w:val="003351DC"/>
    <w:rsid w:val="00337B2E"/>
    <w:rsid w:val="00340F40"/>
    <w:rsid w:val="00341C65"/>
    <w:rsid w:val="003542B8"/>
    <w:rsid w:val="00355508"/>
    <w:rsid w:val="003575CC"/>
    <w:rsid w:val="0036218F"/>
    <w:rsid w:val="003635C7"/>
    <w:rsid w:val="00370964"/>
    <w:rsid w:val="0037124E"/>
    <w:rsid w:val="00372DA5"/>
    <w:rsid w:val="00374BC1"/>
    <w:rsid w:val="00377331"/>
    <w:rsid w:val="00380868"/>
    <w:rsid w:val="00380AD4"/>
    <w:rsid w:val="00384995"/>
    <w:rsid w:val="003915C8"/>
    <w:rsid w:val="00394876"/>
    <w:rsid w:val="003948E4"/>
    <w:rsid w:val="00395ADE"/>
    <w:rsid w:val="00396C06"/>
    <w:rsid w:val="00397E04"/>
    <w:rsid w:val="003A0711"/>
    <w:rsid w:val="003A3FE5"/>
    <w:rsid w:val="003A4B61"/>
    <w:rsid w:val="003A6DDA"/>
    <w:rsid w:val="003B0448"/>
    <w:rsid w:val="003B0486"/>
    <w:rsid w:val="003B1D52"/>
    <w:rsid w:val="003B228A"/>
    <w:rsid w:val="003C02BD"/>
    <w:rsid w:val="003C313D"/>
    <w:rsid w:val="003C4E68"/>
    <w:rsid w:val="003D1873"/>
    <w:rsid w:val="003D6767"/>
    <w:rsid w:val="003D7C53"/>
    <w:rsid w:val="003E11B7"/>
    <w:rsid w:val="003E1424"/>
    <w:rsid w:val="003E2F37"/>
    <w:rsid w:val="003E7289"/>
    <w:rsid w:val="003E7304"/>
    <w:rsid w:val="003F775D"/>
    <w:rsid w:val="00411202"/>
    <w:rsid w:val="00411B6F"/>
    <w:rsid w:val="00414A9C"/>
    <w:rsid w:val="00416576"/>
    <w:rsid w:val="00416893"/>
    <w:rsid w:val="00416A9B"/>
    <w:rsid w:val="004172A6"/>
    <w:rsid w:val="00420285"/>
    <w:rsid w:val="00420F7B"/>
    <w:rsid w:val="0042342C"/>
    <w:rsid w:val="0042515F"/>
    <w:rsid w:val="00425BFB"/>
    <w:rsid w:val="00433514"/>
    <w:rsid w:val="00433E15"/>
    <w:rsid w:val="00437B06"/>
    <w:rsid w:val="00446D27"/>
    <w:rsid w:val="00452A60"/>
    <w:rsid w:val="0045581C"/>
    <w:rsid w:val="00455CC2"/>
    <w:rsid w:val="00456514"/>
    <w:rsid w:val="00456AD3"/>
    <w:rsid w:val="00461D77"/>
    <w:rsid w:val="00462B4F"/>
    <w:rsid w:val="00463E9B"/>
    <w:rsid w:val="0046690E"/>
    <w:rsid w:val="00467263"/>
    <w:rsid w:val="004720FA"/>
    <w:rsid w:val="0047751E"/>
    <w:rsid w:val="00480737"/>
    <w:rsid w:val="004814A1"/>
    <w:rsid w:val="00491AC4"/>
    <w:rsid w:val="00493E52"/>
    <w:rsid w:val="004A0005"/>
    <w:rsid w:val="004A15D6"/>
    <w:rsid w:val="004A5440"/>
    <w:rsid w:val="004B0B07"/>
    <w:rsid w:val="004B5E88"/>
    <w:rsid w:val="004B64E0"/>
    <w:rsid w:val="004B6BD1"/>
    <w:rsid w:val="004B76A4"/>
    <w:rsid w:val="004C35CE"/>
    <w:rsid w:val="004D046C"/>
    <w:rsid w:val="004D1ADA"/>
    <w:rsid w:val="004D294F"/>
    <w:rsid w:val="004D548A"/>
    <w:rsid w:val="004D5A0E"/>
    <w:rsid w:val="004D6144"/>
    <w:rsid w:val="004D6A15"/>
    <w:rsid w:val="004E013E"/>
    <w:rsid w:val="004E521A"/>
    <w:rsid w:val="004E57F5"/>
    <w:rsid w:val="004E72E0"/>
    <w:rsid w:val="004F0FCD"/>
    <w:rsid w:val="004F5F33"/>
    <w:rsid w:val="0050181D"/>
    <w:rsid w:val="00501940"/>
    <w:rsid w:val="00503D33"/>
    <w:rsid w:val="00503DF8"/>
    <w:rsid w:val="00506AA2"/>
    <w:rsid w:val="0050729B"/>
    <w:rsid w:val="00510E3C"/>
    <w:rsid w:val="005114AB"/>
    <w:rsid w:val="005114B1"/>
    <w:rsid w:val="005146F1"/>
    <w:rsid w:val="00520405"/>
    <w:rsid w:val="00536801"/>
    <w:rsid w:val="00541E12"/>
    <w:rsid w:val="00547061"/>
    <w:rsid w:val="00547599"/>
    <w:rsid w:val="00551277"/>
    <w:rsid w:val="00551A70"/>
    <w:rsid w:val="00555C3C"/>
    <w:rsid w:val="005673FA"/>
    <w:rsid w:val="005718E4"/>
    <w:rsid w:val="00574D94"/>
    <w:rsid w:val="00575709"/>
    <w:rsid w:val="00575F76"/>
    <w:rsid w:val="00576048"/>
    <w:rsid w:val="00577776"/>
    <w:rsid w:val="00582629"/>
    <w:rsid w:val="00584431"/>
    <w:rsid w:val="00592238"/>
    <w:rsid w:val="00592F3C"/>
    <w:rsid w:val="005A2F7C"/>
    <w:rsid w:val="005A3A38"/>
    <w:rsid w:val="005A46AC"/>
    <w:rsid w:val="005A55B4"/>
    <w:rsid w:val="005B6C63"/>
    <w:rsid w:val="005C530C"/>
    <w:rsid w:val="005D13C3"/>
    <w:rsid w:val="005D7B3D"/>
    <w:rsid w:val="005E0CBD"/>
    <w:rsid w:val="005E3C8F"/>
    <w:rsid w:val="005E45B8"/>
    <w:rsid w:val="005E57FA"/>
    <w:rsid w:val="005F481C"/>
    <w:rsid w:val="005F493A"/>
    <w:rsid w:val="0060029C"/>
    <w:rsid w:val="00607485"/>
    <w:rsid w:val="0060777E"/>
    <w:rsid w:val="0061016F"/>
    <w:rsid w:val="00613354"/>
    <w:rsid w:val="00616B7F"/>
    <w:rsid w:val="006176BB"/>
    <w:rsid w:val="00624AB0"/>
    <w:rsid w:val="0062686D"/>
    <w:rsid w:val="006271F2"/>
    <w:rsid w:val="00627553"/>
    <w:rsid w:val="006311A4"/>
    <w:rsid w:val="0063578B"/>
    <w:rsid w:val="00641530"/>
    <w:rsid w:val="00641E3B"/>
    <w:rsid w:val="00654EA0"/>
    <w:rsid w:val="0065516F"/>
    <w:rsid w:val="006561EB"/>
    <w:rsid w:val="00662E13"/>
    <w:rsid w:val="00672CD1"/>
    <w:rsid w:val="0067637F"/>
    <w:rsid w:val="006808B9"/>
    <w:rsid w:val="00685A59"/>
    <w:rsid w:val="00692A19"/>
    <w:rsid w:val="00695846"/>
    <w:rsid w:val="0069739B"/>
    <w:rsid w:val="00697B1D"/>
    <w:rsid w:val="006A0479"/>
    <w:rsid w:val="006A1047"/>
    <w:rsid w:val="006A554C"/>
    <w:rsid w:val="006A646F"/>
    <w:rsid w:val="006A7B39"/>
    <w:rsid w:val="006B104F"/>
    <w:rsid w:val="006C2FBC"/>
    <w:rsid w:val="006C4E04"/>
    <w:rsid w:val="006D28F2"/>
    <w:rsid w:val="006D2EE8"/>
    <w:rsid w:val="006D3DB8"/>
    <w:rsid w:val="006D5D71"/>
    <w:rsid w:val="006D67B8"/>
    <w:rsid w:val="006D7EFE"/>
    <w:rsid w:val="006E02E0"/>
    <w:rsid w:val="006E0655"/>
    <w:rsid w:val="006F4F12"/>
    <w:rsid w:val="006F6C71"/>
    <w:rsid w:val="006F755E"/>
    <w:rsid w:val="007024CC"/>
    <w:rsid w:val="00704F25"/>
    <w:rsid w:val="00712596"/>
    <w:rsid w:val="00714826"/>
    <w:rsid w:val="00723FAF"/>
    <w:rsid w:val="00730060"/>
    <w:rsid w:val="00736080"/>
    <w:rsid w:val="0074017A"/>
    <w:rsid w:val="00745BD7"/>
    <w:rsid w:val="007533F0"/>
    <w:rsid w:val="00756AFA"/>
    <w:rsid w:val="00757982"/>
    <w:rsid w:val="00764B3E"/>
    <w:rsid w:val="00770799"/>
    <w:rsid w:val="0077102B"/>
    <w:rsid w:val="007729DF"/>
    <w:rsid w:val="0077677C"/>
    <w:rsid w:val="007829DE"/>
    <w:rsid w:val="00783770"/>
    <w:rsid w:val="00783DC8"/>
    <w:rsid w:val="00786B13"/>
    <w:rsid w:val="007878E0"/>
    <w:rsid w:val="00790C2B"/>
    <w:rsid w:val="007969DD"/>
    <w:rsid w:val="0079773E"/>
    <w:rsid w:val="007A339C"/>
    <w:rsid w:val="007A3A59"/>
    <w:rsid w:val="007A4168"/>
    <w:rsid w:val="007A4C6E"/>
    <w:rsid w:val="007A5BC7"/>
    <w:rsid w:val="007A7144"/>
    <w:rsid w:val="007B00B1"/>
    <w:rsid w:val="007B4DE7"/>
    <w:rsid w:val="007B5261"/>
    <w:rsid w:val="007B64ED"/>
    <w:rsid w:val="007C29AE"/>
    <w:rsid w:val="007C458F"/>
    <w:rsid w:val="007C5984"/>
    <w:rsid w:val="007C7115"/>
    <w:rsid w:val="007C7943"/>
    <w:rsid w:val="007D36CB"/>
    <w:rsid w:val="007D6524"/>
    <w:rsid w:val="007E23AC"/>
    <w:rsid w:val="007E25F4"/>
    <w:rsid w:val="007E34B7"/>
    <w:rsid w:val="007E6D8D"/>
    <w:rsid w:val="007F2092"/>
    <w:rsid w:val="00801195"/>
    <w:rsid w:val="008065CE"/>
    <w:rsid w:val="00814D90"/>
    <w:rsid w:val="00821D5D"/>
    <w:rsid w:val="0083078A"/>
    <w:rsid w:val="00831BD7"/>
    <w:rsid w:val="0083699F"/>
    <w:rsid w:val="008426D7"/>
    <w:rsid w:val="00842C4A"/>
    <w:rsid w:val="008435B1"/>
    <w:rsid w:val="008437E8"/>
    <w:rsid w:val="00845729"/>
    <w:rsid w:val="00846E1A"/>
    <w:rsid w:val="00851A64"/>
    <w:rsid w:val="0085399A"/>
    <w:rsid w:val="0085697B"/>
    <w:rsid w:val="00862F09"/>
    <w:rsid w:val="00875C04"/>
    <w:rsid w:val="00875D5F"/>
    <w:rsid w:val="00876C89"/>
    <w:rsid w:val="00885834"/>
    <w:rsid w:val="00886EAA"/>
    <w:rsid w:val="00893174"/>
    <w:rsid w:val="00894784"/>
    <w:rsid w:val="00896D06"/>
    <w:rsid w:val="008A6936"/>
    <w:rsid w:val="008B3502"/>
    <w:rsid w:val="008C025E"/>
    <w:rsid w:val="008C05AA"/>
    <w:rsid w:val="008C0CC4"/>
    <w:rsid w:val="008C47F1"/>
    <w:rsid w:val="008C6727"/>
    <w:rsid w:val="008D70A7"/>
    <w:rsid w:val="008D7308"/>
    <w:rsid w:val="008E2982"/>
    <w:rsid w:val="008E3161"/>
    <w:rsid w:val="008E715E"/>
    <w:rsid w:val="008F0420"/>
    <w:rsid w:val="008F35E3"/>
    <w:rsid w:val="008F4D85"/>
    <w:rsid w:val="008F524B"/>
    <w:rsid w:val="009005B2"/>
    <w:rsid w:val="00903327"/>
    <w:rsid w:val="00905AD3"/>
    <w:rsid w:val="009079FE"/>
    <w:rsid w:val="0091373F"/>
    <w:rsid w:val="009148AA"/>
    <w:rsid w:val="009150AD"/>
    <w:rsid w:val="00924D7E"/>
    <w:rsid w:val="00936BD2"/>
    <w:rsid w:val="00943329"/>
    <w:rsid w:val="00944151"/>
    <w:rsid w:val="00944676"/>
    <w:rsid w:val="00945F13"/>
    <w:rsid w:val="0094689D"/>
    <w:rsid w:val="00947DD6"/>
    <w:rsid w:val="00952411"/>
    <w:rsid w:val="0095332C"/>
    <w:rsid w:val="00955746"/>
    <w:rsid w:val="00963264"/>
    <w:rsid w:val="0096542C"/>
    <w:rsid w:val="009744DF"/>
    <w:rsid w:val="009807F3"/>
    <w:rsid w:val="00980E3B"/>
    <w:rsid w:val="00985871"/>
    <w:rsid w:val="00986FDB"/>
    <w:rsid w:val="00995236"/>
    <w:rsid w:val="009A0519"/>
    <w:rsid w:val="009A2A0D"/>
    <w:rsid w:val="009A5DB4"/>
    <w:rsid w:val="009A6D76"/>
    <w:rsid w:val="009B2196"/>
    <w:rsid w:val="009B6619"/>
    <w:rsid w:val="009C138F"/>
    <w:rsid w:val="009C1BAC"/>
    <w:rsid w:val="009C3151"/>
    <w:rsid w:val="009C390F"/>
    <w:rsid w:val="009C39A0"/>
    <w:rsid w:val="009C5513"/>
    <w:rsid w:val="009C7266"/>
    <w:rsid w:val="009D2AE9"/>
    <w:rsid w:val="009D2F8F"/>
    <w:rsid w:val="009D3D0C"/>
    <w:rsid w:val="009E04EA"/>
    <w:rsid w:val="009E6523"/>
    <w:rsid w:val="009E6D70"/>
    <w:rsid w:val="009F3171"/>
    <w:rsid w:val="009F5F7D"/>
    <w:rsid w:val="009F6619"/>
    <w:rsid w:val="009F6D68"/>
    <w:rsid w:val="00A042FC"/>
    <w:rsid w:val="00A21960"/>
    <w:rsid w:val="00A26370"/>
    <w:rsid w:val="00A32062"/>
    <w:rsid w:val="00A34894"/>
    <w:rsid w:val="00A37CEF"/>
    <w:rsid w:val="00A42A7A"/>
    <w:rsid w:val="00A45EC5"/>
    <w:rsid w:val="00A542AD"/>
    <w:rsid w:val="00A625F5"/>
    <w:rsid w:val="00A646F8"/>
    <w:rsid w:val="00A649F2"/>
    <w:rsid w:val="00A674A2"/>
    <w:rsid w:val="00A675D8"/>
    <w:rsid w:val="00A72FFF"/>
    <w:rsid w:val="00A772F9"/>
    <w:rsid w:val="00A833B7"/>
    <w:rsid w:val="00A87639"/>
    <w:rsid w:val="00A90AE8"/>
    <w:rsid w:val="00A97928"/>
    <w:rsid w:val="00AA583F"/>
    <w:rsid w:val="00AA7330"/>
    <w:rsid w:val="00AB3AF6"/>
    <w:rsid w:val="00AC5AB6"/>
    <w:rsid w:val="00AD08F2"/>
    <w:rsid w:val="00AD3C16"/>
    <w:rsid w:val="00AF2B39"/>
    <w:rsid w:val="00AF77F0"/>
    <w:rsid w:val="00B00FC1"/>
    <w:rsid w:val="00B03599"/>
    <w:rsid w:val="00B03954"/>
    <w:rsid w:val="00B05DD6"/>
    <w:rsid w:val="00B06582"/>
    <w:rsid w:val="00B068EA"/>
    <w:rsid w:val="00B077B1"/>
    <w:rsid w:val="00B139C6"/>
    <w:rsid w:val="00B31056"/>
    <w:rsid w:val="00B3488C"/>
    <w:rsid w:val="00B35892"/>
    <w:rsid w:val="00B40BE2"/>
    <w:rsid w:val="00B4109A"/>
    <w:rsid w:val="00B52F53"/>
    <w:rsid w:val="00B56A78"/>
    <w:rsid w:val="00B578A9"/>
    <w:rsid w:val="00B57959"/>
    <w:rsid w:val="00B57F1F"/>
    <w:rsid w:val="00B61D60"/>
    <w:rsid w:val="00B62DF0"/>
    <w:rsid w:val="00B67A4B"/>
    <w:rsid w:val="00B70039"/>
    <w:rsid w:val="00B73C3D"/>
    <w:rsid w:val="00B80CEA"/>
    <w:rsid w:val="00B819D0"/>
    <w:rsid w:val="00B840DB"/>
    <w:rsid w:val="00B852D4"/>
    <w:rsid w:val="00B8649F"/>
    <w:rsid w:val="00B92736"/>
    <w:rsid w:val="00B94375"/>
    <w:rsid w:val="00B94C0C"/>
    <w:rsid w:val="00B95792"/>
    <w:rsid w:val="00BA6345"/>
    <w:rsid w:val="00BB0A92"/>
    <w:rsid w:val="00BB1F93"/>
    <w:rsid w:val="00BB28C0"/>
    <w:rsid w:val="00BB4492"/>
    <w:rsid w:val="00BC05F1"/>
    <w:rsid w:val="00BC2FD5"/>
    <w:rsid w:val="00BC3352"/>
    <w:rsid w:val="00BC3F5B"/>
    <w:rsid w:val="00BC40A8"/>
    <w:rsid w:val="00BC780B"/>
    <w:rsid w:val="00BD5EED"/>
    <w:rsid w:val="00BD79E7"/>
    <w:rsid w:val="00BD7FF5"/>
    <w:rsid w:val="00BE232C"/>
    <w:rsid w:val="00BE33B7"/>
    <w:rsid w:val="00BE4F5F"/>
    <w:rsid w:val="00BE5207"/>
    <w:rsid w:val="00BF1221"/>
    <w:rsid w:val="00BF4317"/>
    <w:rsid w:val="00BF6B52"/>
    <w:rsid w:val="00BF7844"/>
    <w:rsid w:val="00C1165A"/>
    <w:rsid w:val="00C1170A"/>
    <w:rsid w:val="00C13132"/>
    <w:rsid w:val="00C13A41"/>
    <w:rsid w:val="00C16632"/>
    <w:rsid w:val="00C30CE9"/>
    <w:rsid w:val="00C31A38"/>
    <w:rsid w:val="00C40A38"/>
    <w:rsid w:val="00C418D4"/>
    <w:rsid w:val="00C5536A"/>
    <w:rsid w:val="00C565EE"/>
    <w:rsid w:val="00C61ED0"/>
    <w:rsid w:val="00C800AB"/>
    <w:rsid w:val="00C80ED4"/>
    <w:rsid w:val="00C84CF7"/>
    <w:rsid w:val="00C93686"/>
    <w:rsid w:val="00C95DD8"/>
    <w:rsid w:val="00C95F80"/>
    <w:rsid w:val="00CA1B38"/>
    <w:rsid w:val="00CB2ED6"/>
    <w:rsid w:val="00CB575A"/>
    <w:rsid w:val="00CC6F87"/>
    <w:rsid w:val="00CD2A14"/>
    <w:rsid w:val="00CD30BF"/>
    <w:rsid w:val="00CD56BE"/>
    <w:rsid w:val="00CD7ECD"/>
    <w:rsid w:val="00CF29DB"/>
    <w:rsid w:val="00D03AD0"/>
    <w:rsid w:val="00D0403E"/>
    <w:rsid w:val="00D05155"/>
    <w:rsid w:val="00D13ADD"/>
    <w:rsid w:val="00D17651"/>
    <w:rsid w:val="00D1782A"/>
    <w:rsid w:val="00D205C9"/>
    <w:rsid w:val="00D2795A"/>
    <w:rsid w:val="00D31B35"/>
    <w:rsid w:val="00D32EF4"/>
    <w:rsid w:val="00D333BE"/>
    <w:rsid w:val="00D33F6C"/>
    <w:rsid w:val="00D36917"/>
    <w:rsid w:val="00D3777B"/>
    <w:rsid w:val="00D40B6E"/>
    <w:rsid w:val="00D42DFA"/>
    <w:rsid w:val="00D501EC"/>
    <w:rsid w:val="00D50AEF"/>
    <w:rsid w:val="00D516B1"/>
    <w:rsid w:val="00D574F7"/>
    <w:rsid w:val="00D5776E"/>
    <w:rsid w:val="00D6210B"/>
    <w:rsid w:val="00D63514"/>
    <w:rsid w:val="00D638C0"/>
    <w:rsid w:val="00D66DC1"/>
    <w:rsid w:val="00D737A8"/>
    <w:rsid w:val="00D74DF7"/>
    <w:rsid w:val="00D80C66"/>
    <w:rsid w:val="00D822A9"/>
    <w:rsid w:val="00D85292"/>
    <w:rsid w:val="00D8558E"/>
    <w:rsid w:val="00D85946"/>
    <w:rsid w:val="00D92330"/>
    <w:rsid w:val="00DA14BA"/>
    <w:rsid w:val="00DA20C9"/>
    <w:rsid w:val="00DA267C"/>
    <w:rsid w:val="00DA4F8B"/>
    <w:rsid w:val="00DB210A"/>
    <w:rsid w:val="00DB50E4"/>
    <w:rsid w:val="00DC0076"/>
    <w:rsid w:val="00DC20B6"/>
    <w:rsid w:val="00DC6633"/>
    <w:rsid w:val="00DC6790"/>
    <w:rsid w:val="00DD5B7B"/>
    <w:rsid w:val="00DE2BF8"/>
    <w:rsid w:val="00DE3C0C"/>
    <w:rsid w:val="00DE5432"/>
    <w:rsid w:val="00DE5611"/>
    <w:rsid w:val="00DF13A3"/>
    <w:rsid w:val="00E01CBE"/>
    <w:rsid w:val="00E024A0"/>
    <w:rsid w:val="00E02AD1"/>
    <w:rsid w:val="00E04871"/>
    <w:rsid w:val="00E058F8"/>
    <w:rsid w:val="00E20D24"/>
    <w:rsid w:val="00E21526"/>
    <w:rsid w:val="00E2301B"/>
    <w:rsid w:val="00E24464"/>
    <w:rsid w:val="00E26672"/>
    <w:rsid w:val="00E279FE"/>
    <w:rsid w:val="00E27A3D"/>
    <w:rsid w:val="00E31159"/>
    <w:rsid w:val="00E352A1"/>
    <w:rsid w:val="00E379E5"/>
    <w:rsid w:val="00E41E81"/>
    <w:rsid w:val="00E6581C"/>
    <w:rsid w:val="00E745E1"/>
    <w:rsid w:val="00E753F0"/>
    <w:rsid w:val="00E76994"/>
    <w:rsid w:val="00E80695"/>
    <w:rsid w:val="00E8136A"/>
    <w:rsid w:val="00E8369E"/>
    <w:rsid w:val="00E93C83"/>
    <w:rsid w:val="00E97D82"/>
    <w:rsid w:val="00EA0D3D"/>
    <w:rsid w:val="00EA0FEE"/>
    <w:rsid w:val="00EA3130"/>
    <w:rsid w:val="00EA3790"/>
    <w:rsid w:val="00EB0C5B"/>
    <w:rsid w:val="00EC14FE"/>
    <w:rsid w:val="00EC3B13"/>
    <w:rsid w:val="00EC6364"/>
    <w:rsid w:val="00EC76D0"/>
    <w:rsid w:val="00ED4A6A"/>
    <w:rsid w:val="00ED4F0B"/>
    <w:rsid w:val="00EE076C"/>
    <w:rsid w:val="00EE28E1"/>
    <w:rsid w:val="00EE48FF"/>
    <w:rsid w:val="00EE7C0C"/>
    <w:rsid w:val="00EF5657"/>
    <w:rsid w:val="00EF61BA"/>
    <w:rsid w:val="00EF6230"/>
    <w:rsid w:val="00F021B1"/>
    <w:rsid w:val="00F05220"/>
    <w:rsid w:val="00F0603B"/>
    <w:rsid w:val="00F101F1"/>
    <w:rsid w:val="00F11959"/>
    <w:rsid w:val="00F156CE"/>
    <w:rsid w:val="00F2188F"/>
    <w:rsid w:val="00F22C8A"/>
    <w:rsid w:val="00F25560"/>
    <w:rsid w:val="00F260F6"/>
    <w:rsid w:val="00F26C62"/>
    <w:rsid w:val="00F274C4"/>
    <w:rsid w:val="00F27AF5"/>
    <w:rsid w:val="00F34109"/>
    <w:rsid w:val="00F46D64"/>
    <w:rsid w:val="00F513C9"/>
    <w:rsid w:val="00F51786"/>
    <w:rsid w:val="00F51A7A"/>
    <w:rsid w:val="00F56188"/>
    <w:rsid w:val="00F6017D"/>
    <w:rsid w:val="00F63F18"/>
    <w:rsid w:val="00F66749"/>
    <w:rsid w:val="00F72D7D"/>
    <w:rsid w:val="00F73709"/>
    <w:rsid w:val="00F7580F"/>
    <w:rsid w:val="00F75F5C"/>
    <w:rsid w:val="00F8698E"/>
    <w:rsid w:val="00F87148"/>
    <w:rsid w:val="00F90F56"/>
    <w:rsid w:val="00F92F1F"/>
    <w:rsid w:val="00FA0EBB"/>
    <w:rsid w:val="00FA4EE2"/>
    <w:rsid w:val="00FA5A4B"/>
    <w:rsid w:val="00FA70D2"/>
    <w:rsid w:val="00FB0CFB"/>
    <w:rsid w:val="00FB191B"/>
    <w:rsid w:val="00FC24B3"/>
    <w:rsid w:val="00FC266D"/>
    <w:rsid w:val="00FC51B0"/>
    <w:rsid w:val="00FD012F"/>
    <w:rsid w:val="00FD2FC5"/>
    <w:rsid w:val="00FD54EE"/>
    <w:rsid w:val="00FD55B2"/>
    <w:rsid w:val="00FD65E6"/>
    <w:rsid w:val="00FE038B"/>
    <w:rsid w:val="00FE0B1A"/>
    <w:rsid w:val="00FE3074"/>
    <w:rsid w:val="00FE3274"/>
    <w:rsid w:val="00FE5264"/>
    <w:rsid w:val="00FE53C8"/>
    <w:rsid w:val="00FE5A63"/>
    <w:rsid w:val="00FE783F"/>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88816-8712-4D26-A67E-3C5AD2BF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02"/>
    <w:pPr>
      <w:spacing w:after="0" w:line="240" w:lineRule="auto"/>
    </w:pPr>
    <w:rPr>
      <w:rFonts w:ascii="Aerial" w:hAnsi="Ae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02"/>
    <w:pPr>
      <w:ind w:left="720"/>
      <w:contextualSpacing/>
    </w:pPr>
  </w:style>
  <w:style w:type="paragraph" w:customStyle="1" w:styleId="Default">
    <w:name w:val="Default"/>
    <w:rsid w:val="008B3502"/>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8B3502"/>
    <w:rPr>
      <w:color w:val="0000FF"/>
      <w:u w:val="single"/>
    </w:rPr>
  </w:style>
  <w:style w:type="table" w:styleId="TableGrid">
    <w:name w:val="Table Grid"/>
    <w:basedOn w:val="TableNormal"/>
    <w:rsid w:val="008D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5F2B"/>
    <w:pPr>
      <w:tabs>
        <w:tab w:val="center" w:pos="4513"/>
        <w:tab w:val="right" w:pos="9026"/>
      </w:tabs>
    </w:pPr>
  </w:style>
  <w:style w:type="character" w:customStyle="1" w:styleId="HeaderChar">
    <w:name w:val="Header Char"/>
    <w:basedOn w:val="DefaultParagraphFont"/>
    <w:link w:val="Header"/>
    <w:uiPriority w:val="99"/>
    <w:rsid w:val="00085F2B"/>
    <w:rPr>
      <w:rFonts w:ascii="Aerial" w:hAnsi="Aerial"/>
      <w:sz w:val="24"/>
    </w:rPr>
  </w:style>
  <w:style w:type="paragraph" w:styleId="Footer">
    <w:name w:val="footer"/>
    <w:basedOn w:val="Normal"/>
    <w:link w:val="FooterChar"/>
    <w:uiPriority w:val="99"/>
    <w:unhideWhenUsed/>
    <w:rsid w:val="00085F2B"/>
    <w:pPr>
      <w:tabs>
        <w:tab w:val="center" w:pos="4513"/>
        <w:tab w:val="right" w:pos="9026"/>
      </w:tabs>
    </w:pPr>
  </w:style>
  <w:style w:type="character" w:customStyle="1" w:styleId="FooterChar">
    <w:name w:val="Footer Char"/>
    <w:basedOn w:val="DefaultParagraphFont"/>
    <w:link w:val="Footer"/>
    <w:uiPriority w:val="99"/>
    <w:rsid w:val="00085F2B"/>
    <w:rPr>
      <w:rFonts w:ascii="Aerial" w:hAnsi="Aerial"/>
      <w:sz w:val="24"/>
    </w:rPr>
  </w:style>
  <w:style w:type="paragraph" w:styleId="BalloonText">
    <w:name w:val="Balloon Text"/>
    <w:basedOn w:val="Normal"/>
    <w:link w:val="BalloonTextChar"/>
    <w:semiHidden/>
    <w:unhideWhenUsed/>
    <w:rsid w:val="00B73C3D"/>
    <w:rPr>
      <w:rFonts w:ascii="Tahoma" w:hAnsi="Tahoma" w:cs="Tahoma"/>
      <w:sz w:val="16"/>
      <w:szCs w:val="16"/>
    </w:rPr>
  </w:style>
  <w:style w:type="character" w:customStyle="1" w:styleId="BalloonTextChar">
    <w:name w:val="Balloon Text Char"/>
    <w:basedOn w:val="DefaultParagraphFont"/>
    <w:link w:val="BalloonText"/>
    <w:uiPriority w:val="99"/>
    <w:semiHidden/>
    <w:rsid w:val="00B73C3D"/>
    <w:rPr>
      <w:rFonts w:ascii="Tahoma" w:hAnsi="Tahoma" w:cs="Tahoma"/>
      <w:sz w:val="16"/>
      <w:szCs w:val="16"/>
    </w:rPr>
  </w:style>
  <w:style w:type="character" w:styleId="PageNumber">
    <w:name w:val="page number"/>
    <w:basedOn w:val="DefaultParagraphFont"/>
    <w:rsid w:val="00641E3B"/>
  </w:style>
  <w:style w:type="paragraph" w:styleId="NormalWeb">
    <w:name w:val="Normal (Web)"/>
    <w:basedOn w:val="Normal"/>
    <w:uiPriority w:val="99"/>
    <w:unhideWhenUsed/>
    <w:rsid w:val="00641E3B"/>
    <w:rPr>
      <w:rFonts w:ascii="Times New Roman" w:eastAsia="Calibri" w:hAnsi="Times New Roman" w:cs="Times New Roman"/>
      <w:szCs w:val="24"/>
      <w:lang w:eastAsia="en-GB"/>
    </w:rPr>
  </w:style>
  <w:style w:type="paragraph" w:styleId="Title">
    <w:name w:val="Title"/>
    <w:basedOn w:val="Normal"/>
    <w:link w:val="TitleChar"/>
    <w:qFormat/>
    <w:rsid w:val="00641E3B"/>
    <w:pPr>
      <w:widowControl w:val="0"/>
      <w:jc w:val="center"/>
      <w:outlineLvl w:val="0"/>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41E3B"/>
    <w:rPr>
      <w:rFonts w:ascii="Times New Roman" w:eastAsia="Times New Roman" w:hAnsi="Times New Roman" w:cs="Times New Roman"/>
      <w:sz w:val="28"/>
      <w:szCs w:val="20"/>
    </w:rPr>
  </w:style>
  <w:style w:type="character" w:styleId="BookTitle">
    <w:name w:val="Book Title"/>
    <w:basedOn w:val="DefaultParagraphFont"/>
    <w:uiPriority w:val="33"/>
    <w:qFormat/>
    <w:rsid w:val="005F48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9648">
      <w:bodyDiv w:val="1"/>
      <w:marLeft w:val="0"/>
      <w:marRight w:val="0"/>
      <w:marTop w:val="0"/>
      <w:marBottom w:val="0"/>
      <w:divBdr>
        <w:top w:val="none" w:sz="0" w:space="0" w:color="auto"/>
        <w:left w:val="none" w:sz="0" w:space="0" w:color="auto"/>
        <w:bottom w:val="none" w:sz="0" w:space="0" w:color="auto"/>
        <w:right w:val="none" w:sz="0" w:space="0" w:color="auto"/>
      </w:divBdr>
    </w:div>
    <w:div w:id="160124043">
      <w:bodyDiv w:val="1"/>
      <w:marLeft w:val="0"/>
      <w:marRight w:val="0"/>
      <w:marTop w:val="0"/>
      <w:marBottom w:val="0"/>
      <w:divBdr>
        <w:top w:val="none" w:sz="0" w:space="0" w:color="auto"/>
        <w:left w:val="none" w:sz="0" w:space="0" w:color="auto"/>
        <w:bottom w:val="none" w:sz="0" w:space="0" w:color="auto"/>
        <w:right w:val="none" w:sz="0" w:space="0" w:color="auto"/>
      </w:divBdr>
    </w:div>
    <w:div w:id="195120720">
      <w:bodyDiv w:val="1"/>
      <w:marLeft w:val="0"/>
      <w:marRight w:val="0"/>
      <w:marTop w:val="0"/>
      <w:marBottom w:val="0"/>
      <w:divBdr>
        <w:top w:val="none" w:sz="0" w:space="0" w:color="auto"/>
        <w:left w:val="none" w:sz="0" w:space="0" w:color="auto"/>
        <w:bottom w:val="none" w:sz="0" w:space="0" w:color="auto"/>
        <w:right w:val="none" w:sz="0" w:space="0" w:color="auto"/>
      </w:divBdr>
    </w:div>
    <w:div w:id="218711942">
      <w:bodyDiv w:val="1"/>
      <w:marLeft w:val="0"/>
      <w:marRight w:val="0"/>
      <w:marTop w:val="0"/>
      <w:marBottom w:val="0"/>
      <w:divBdr>
        <w:top w:val="none" w:sz="0" w:space="0" w:color="auto"/>
        <w:left w:val="none" w:sz="0" w:space="0" w:color="auto"/>
        <w:bottom w:val="none" w:sz="0" w:space="0" w:color="auto"/>
        <w:right w:val="none" w:sz="0" w:space="0" w:color="auto"/>
      </w:divBdr>
    </w:div>
    <w:div w:id="251545076">
      <w:bodyDiv w:val="1"/>
      <w:marLeft w:val="0"/>
      <w:marRight w:val="0"/>
      <w:marTop w:val="0"/>
      <w:marBottom w:val="0"/>
      <w:divBdr>
        <w:top w:val="none" w:sz="0" w:space="0" w:color="auto"/>
        <w:left w:val="none" w:sz="0" w:space="0" w:color="auto"/>
        <w:bottom w:val="none" w:sz="0" w:space="0" w:color="auto"/>
        <w:right w:val="none" w:sz="0" w:space="0" w:color="auto"/>
      </w:divBdr>
    </w:div>
    <w:div w:id="306477748">
      <w:bodyDiv w:val="1"/>
      <w:marLeft w:val="0"/>
      <w:marRight w:val="0"/>
      <w:marTop w:val="0"/>
      <w:marBottom w:val="0"/>
      <w:divBdr>
        <w:top w:val="none" w:sz="0" w:space="0" w:color="auto"/>
        <w:left w:val="none" w:sz="0" w:space="0" w:color="auto"/>
        <w:bottom w:val="none" w:sz="0" w:space="0" w:color="auto"/>
        <w:right w:val="none" w:sz="0" w:space="0" w:color="auto"/>
      </w:divBdr>
    </w:div>
    <w:div w:id="405421351">
      <w:bodyDiv w:val="1"/>
      <w:marLeft w:val="0"/>
      <w:marRight w:val="0"/>
      <w:marTop w:val="0"/>
      <w:marBottom w:val="0"/>
      <w:divBdr>
        <w:top w:val="none" w:sz="0" w:space="0" w:color="auto"/>
        <w:left w:val="none" w:sz="0" w:space="0" w:color="auto"/>
        <w:bottom w:val="none" w:sz="0" w:space="0" w:color="auto"/>
        <w:right w:val="none" w:sz="0" w:space="0" w:color="auto"/>
      </w:divBdr>
    </w:div>
    <w:div w:id="521941230">
      <w:bodyDiv w:val="1"/>
      <w:marLeft w:val="0"/>
      <w:marRight w:val="0"/>
      <w:marTop w:val="0"/>
      <w:marBottom w:val="0"/>
      <w:divBdr>
        <w:top w:val="none" w:sz="0" w:space="0" w:color="auto"/>
        <w:left w:val="none" w:sz="0" w:space="0" w:color="auto"/>
        <w:bottom w:val="none" w:sz="0" w:space="0" w:color="auto"/>
        <w:right w:val="none" w:sz="0" w:space="0" w:color="auto"/>
      </w:divBdr>
    </w:div>
    <w:div w:id="523593196">
      <w:bodyDiv w:val="1"/>
      <w:marLeft w:val="0"/>
      <w:marRight w:val="0"/>
      <w:marTop w:val="0"/>
      <w:marBottom w:val="0"/>
      <w:divBdr>
        <w:top w:val="none" w:sz="0" w:space="0" w:color="auto"/>
        <w:left w:val="none" w:sz="0" w:space="0" w:color="auto"/>
        <w:bottom w:val="none" w:sz="0" w:space="0" w:color="auto"/>
        <w:right w:val="none" w:sz="0" w:space="0" w:color="auto"/>
      </w:divBdr>
    </w:div>
    <w:div w:id="782649792">
      <w:bodyDiv w:val="1"/>
      <w:marLeft w:val="0"/>
      <w:marRight w:val="0"/>
      <w:marTop w:val="0"/>
      <w:marBottom w:val="0"/>
      <w:divBdr>
        <w:top w:val="none" w:sz="0" w:space="0" w:color="auto"/>
        <w:left w:val="none" w:sz="0" w:space="0" w:color="auto"/>
        <w:bottom w:val="none" w:sz="0" w:space="0" w:color="auto"/>
        <w:right w:val="none" w:sz="0" w:space="0" w:color="auto"/>
      </w:divBdr>
    </w:div>
    <w:div w:id="949313100">
      <w:bodyDiv w:val="1"/>
      <w:marLeft w:val="0"/>
      <w:marRight w:val="0"/>
      <w:marTop w:val="0"/>
      <w:marBottom w:val="0"/>
      <w:divBdr>
        <w:top w:val="none" w:sz="0" w:space="0" w:color="auto"/>
        <w:left w:val="none" w:sz="0" w:space="0" w:color="auto"/>
        <w:bottom w:val="none" w:sz="0" w:space="0" w:color="auto"/>
        <w:right w:val="none" w:sz="0" w:space="0" w:color="auto"/>
      </w:divBdr>
    </w:div>
    <w:div w:id="959803356">
      <w:bodyDiv w:val="1"/>
      <w:marLeft w:val="0"/>
      <w:marRight w:val="0"/>
      <w:marTop w:val="0"/>
      <w:marBottom w:val="0"/>
      <w:divBdr>
        <w:top w:val="none" w:sz="0" w:space="0" w:color="auto"/>
        <w:left w:val="none" w:sz="0" w:space="0" w:color="auto"/>
        <w:bottom w:val="none" w:sz="0" w:space="0" w:color="auto"/>
        <w:right w:val="none" w:sz="0" w:space="0" w:color="auto"/>
      </w:divBdr>
    </w:div>
    <w:div w:id="964576090">
      <w:bodyDiv w:val="1"/>
      <w:marLeft w:val="0"/>
      <w:marRight w:val="0"/>
      <w:marTop w:val="0"/>
      <w:marBottom w:val="0"/>
      <w:divBdr>
        <w:top w:val="none" w:sz="0" w:space="0" w:color="auto"/>
        <w:left w:val="none" w:sz="0" w:space="0" w:color="auto"/>
        <w:bottom w:val="none" w:sz="0" w:space="0" w:color="auto"/>
        <w:right w:val="none" w:sz="0" w:space="0" w:color="auto"/>
      </w:divBdr>
    </w:div>
    <w:div w:id="985204146">
      <w:bodyDiv w:val="1"/>
      <w:marLeft w:val="0"/>
      <w:marRight w:val="0"/>
      <w:marTop w:val="0"/>
      <w:marBottom w:val="0"/>
      <w:divBdr>
        <w:top w:val="none" w:sz="0" w:space="0" w:color="auto"/>
        <w:left w:val="none" w:sz="0" w:space="0" w:color="auto"/>
        <w:bottom w:val="none" w:sz="0" w:space="0" w:color="auto"/>
        <w:right w:val="none" w:sz="0" w:space="0" w:color="auto"/>
      </w:divBdr>
    </w:div>
    <w:div w:id="1080103440">
      <w:bodyDiv w:val="1"/>
      <w:marLeft w:val="0"/>
      <w:marRight w:val="0"/>
      <w:marTop w:val="0"/>
      <w:marBottom w:val="0"/>
      <w:divBdr>
        <w:top w:val="none" w:sz="0" w:space="0" w:color="auto"/>
        <w:left w:val="none" w:sz="0" w:space="0" w:color="auto"/>
        <w:bottom w:val="none" w:sz="0" w:space="0" w:color="auto"/>
        <w:right w:val="none" w:sz="0" w:space="0" w:color="auto"/>
      </w:divBdr>
    </w:div>
    <w:div w:id="1101144239">
      <w:bodyDiv w:val="1"/>
      <w:marLeft w:val="0"/>
      <w:marRight w:val="0"/>
      <w:marTop w:val="0"/>
      <w:marBottom w:val="0"/>
      <w:divBdr>
        <w:top w:val="none" w:sz="0" w:space="0" w:color="auto"/>
        <w:left w:val="none" w:sz="0" w:space="0" w:color="auto"/>
        <w:bottom w:val="none" w:sz="0" w:space="0" w:color="auto"/>
        <w:right w:val="none" w:sz="0" w:space="0" w:color="auto"/>
      </w:divBdr>
    </w:div>
    <w:div w:id="1158115014">
      <w:bodyDiv w:val="1"/>
      <w:marLeft w:val="0"/>
      <w:marRight w:val="0"/>
      <w:marTop w:val="0"/>
      <w:marBottom w:val="0"/>
      <w:divBdr>
        <w:top w:val="none" w:sz="0" w:space="0" w:color="auto"/>
        <w:left w:val="none" w:sz="0" w:space="0" w:color="auto"/>
        <w:bottom w:val="none" w:sz="0" w:space="0" w:color="auto"/>
        <w:right w:val="none" w:sz="0" w:space="0" w:color="auto"/>
      </w:divBdr>
    </w:div>
    <w:div w:id="1178152087">
      <w:bodyDiv w:val="1"/>
      <w:marLeft w:val="0"/>
      <w:marRight w:val="0"/>
      <w:marTop w:val="0"/>
      <w:marBottom w:val="0"/>
      <w:divBdr>
        <w:top w:val="none" w:sz="0" w:space="0" w:color="auto"/>
        <w:left w:val="none" w:sz="0" w:space="0" w:color="auto"/>
        <w:bottom w:val="none" w:sz="0" w:space="0" w:color="auto"/>
        <w:right w:val="none" w:sz="0" w:space="0" w:color="auto"/>
      </w:divBdr>
    </w:div>
    <w:div w:id="1280452906">
      <w:bodyDiv w:val="1"/>
      <w:marLeft w:val="0"/>
      <w:marRight w:val="0"/>
      <w:marTop w:val="0"/>
      <w:marBottom w:val="0"/>
      <w:divBdr>
        <w:top w:val="none" w:sz="0" w:space="0" w:color="auto"/>
        <w:left w:val="none" w:sz="0" w:space="0" w:color="auto"/>
        <w:bottom w:val="none" w:sz="0" w:space="0" w:color="auto"/>
        <w:right w:val="none" w:sz="0" w:space="0" w:color="auto"/>
      </w:divBdr>
    </w:div>
    <w:div w:id="1382244519">
      <w:bodyDiv w:val="1"/>
      <w:marLeft w:val="0"/>
      <w:marRight w:val="0"/>
      <w:marTop w:val="0"/>
      <w:marBottom w:val="0"/>
      <w:divBdr>
        <w:top w:val="none" w:sz="0" w:space="0" w:color="auto"/>
        <w:left w:val="none" w:sz="0" w:space="0" w:color="auto"/>
        <w:bottom w:val="none" w:sz="0" w:space="0" w:color="auto"/>
        <w:right w:val="none" w:sz="0" w:space="0" w:color="auto"/>
      </w:divBdr>
    </w:div>
    <w:div w:id="1399741285">
      <w:bodyDiv w:val="1"/>
      <w:marLeft w:val="0"/>
      <w:marRight w:val="0"/>
      <w:marTop w:val="0"/>
      <w:marBottom w:val="0"/>
      <w:divBdr>
        <w:top w:val="none" w:sz="0" w:space="0" w:color="auto"/>
        <w:left w:val="none" w:sz="0" w:space="0" w:color="auto"/>
        <w:bottom w:val="none" w:sz="0" w:space="0" w:color="auto"/>
        <w:right w:val="none" w:sz="0" w:space="0" w:color="auto"/>
      </w:divBdr>
    </w:div>
    <w:div w:id="1460413180">
      <w:bodyDiv w:val="1"/>
      <w:marLeft w:val="0"/>
      <w:marRight w:val="0"/>
      <w:marTop w:val="0"/>
      <w:marBottom w:val="0"/>
      <w:divBdr>
        <w:top w:val="none" w:sz="0" w:space="0" w:color="auto"/>
        <w:left w:val="none" w:sz="0" w:space="0" w:color="auto"/>
        <w:bottom w:val="none" w:sz="0" w:space="0" w:color="auto"/>
        <w:right w:val="none" w:sz="0" w:space="0" w:color="auto"/>
      </w:divBdr>
    </w:div>
    <w:div w:id="1549613210">
      <w:bodyDiv w:val="1"/>
      <w:marLeft w:val="0"/>
      <w:marRight w:val="0"/>
      <w:marTop w:val="0"/>
      <w:marBottom w:val="0"/>
      <w:divBdr>
        <w:top w:val="none" w:sz="0" w:space="0" w:color="auto"/>
        <w:left w:val="none" w:sz="0" w:space="0" w:color="auto"/>
        <w:bottom w:val="none" w:sz="0" w:space="0" w:color="auto"/>
        <w:right w:val="none" w:sz="0" w:space="0" w:color="auto"/>
      </w:divBdr>
    </w:div>
    <w:div w:id="1667830198">
      <w:bodyDiv w:val="1"/>
      <w:marLeft w:val="0"/>
      <w:marRight w:val="0"/>
      <w:marTop w:val="0"/>
      <w:marBottom w:val="0"/>
      <w:divBdr>
        <w:top w:val="none" w:sz="0" w:space="0" w:color="auto"/>
        <w:left w:val="none" w:sz="0" w:space="0" w:color="auto"/>
        <w:bottom w:val="none" w:sz="0" w:space="0" w:color="auto"/>
        <w:right w:val="none" w:sz="0" w:space="0" w:color="auto"/>
      </w:divBdr>
    </w:div>
    <w:div w:id="1685742519">
      <w:bodyDiv w:val="1"/>
      <w:marLeft w:val="0"/>
      <w:marRight w:val="0"/>
      <w:marTop w:val="0"/>
      <w:marBottom w:val="0"/>
      <w:divBdr>
        <w:top w:val="none" w:sz="0" w:space="0" w:color="auto"/>
        <w:left w:val="none" w:sz="0" w:space="0" w:color="auto"/>
        <w:bottom w:val="none" w:sz="0" w:space="0" w:color="auto"/>
        <w:right w:val="none" w:sz="0" w:space="0" w:color="auto"/>
      </w:divBdr>
    </w:div>
    <w:div w:id="1800683195">
      <w:bodyDiv w:val="1"/>
      <w:marLeft w:val="0"/>
      <w:marRight w:val="0"/>
      <w:marTop w:val="0"/>
      <w:marBottom w:val="0"/>
      <w:divBdr>
        <w:top w:val="none" w:sz="0" w:space="0" w:color="auto"/>
        <w:left w:val="none" w:sz="0" w:space="0" w:color="auto"/>
        <w:bottom w:val="none" w:sz="0" w:space="0" w:color="auto"/>
        <w:right w:val="none" w:sz="0" w:space="0" w:color="auto"/>
      </w:divBdr>
    </w:div>
    <w:div w:id="1837961942">
      <w:bodyDiv w:val="1"/>
      <w:marLeft w:val="0"/>
      <w:marRight w:val="0"/>
      <w:marTop w:val="0"/>
      <w:marBottom w:val="0"/>
      <w:divBdr>
        <w:top w:val="none" w:sz="0" w:space="0" w:color="auto"/>
        <w:left w:val="none" w:sz="0" w:space="0" w:color="auto"/>
        <w:bottom w:val="none" w:sz="0" w:space="0" w:color="auto"/>
        <w:right w:val="none" w:sz="0" w:space="0" w:color="auto"/>
      </w:divBdr>
    </w:div>
    <w:div w:id="18387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C4DC-06D5-42D9-925E-3EBC23F7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 Overall Financial Assessment</dc:title>
  <dc:creator>Chris Allcock</dc:creator>
  <cp:lastModifiedBy>David Mee</cp:lastModifiedBy>
  <cp:revision>13</cp:revision>
  <cp:lastPrinted>2016-01-27T10:42:00Z</cp:lastPrinted>
  <dcterms:created xsi:type="dcterms:W3CDTF">2018-11-14T11:24:00Z</dcterms:created>
  <dcterms:modified xsi:type="dcterms:W3CDTF">2018-11-16T15:50:04Z</dcterms:modified>
  <cp:keywords>
  </cp:keywords>
  <dc:subject>
  </dc:subject>
</cp:coreProperties>
</file>